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 07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João Henrique Cardoso Bragantino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Criptografe o texto “FURB” usando o modo de operação “ECB”.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Texto cifrado: 2513f7a5d3e00e8c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Extensão: 16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2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Criptografe “COMPUTADOR” e o modo de operação “ECB”.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2.1. Qual o conteúdo do texto cifrado (em hexadecimal)?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f34739ab7634c4efe50ff1b554856572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2.2. Qual a extensão do texto cifrado?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 bytes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2.3. Por que o texto cifrado tem tal tamanho?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Porque na criptografia blowfish os blocos cifrados são formados sempre por 64 bits (8 bytes), o que significa que o tamanho do texto cifrado será um múltiplo de 8 bytes.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3 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Criptografe “SABONETE” e utilize o modo de operação “ECB”.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3.1. Qual o conteúdo do texto cifrado (em hexadecimal)? 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841091472604b96acdbc3e2fefa73bdd</w:t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3.2. Qual a extensão do texto cifrado?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16 bytes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3.3. Por que o texto cifrado tem tal tamanho?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Por que o esquema de preenchimento de bloco PKCS#5 adiciona mais 8 bytes para completar um bloco de 64 bits (8 bytes).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4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Criptografe</w:t>
      </w:r>
      <w:r w:rsidDel="00000000" w:rsidR="00000000" w:rsidRPr="00000000">
        <w:rPr>
          <w:rtl w:val="0"/>
        </w:rPr>
        <w:t xml:space="preserve"> o texto </w:t>
      </w:r>
      <w:r w:rsidDel="00000000" w:rsidR="00000000" w:rsidRPr="00000000">
        <w:rPr>
          <w:rtl w:val="0"/>
        </w:rPr>
        <w:t xml:space="preserve">“SABONETESABONETESABONETE”</w:t>
      </w:r>
      <w:r w:rsidDel="00000000" w:rsidR="00000000" w:rsidRPr="00000000">
        <w:rPr>
          <w:rtl w:val="0"/>
        </w:rPr>
        <w:t xml:space="preserve"> e utilize o modo de operação “ECB”. </w:t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4.1. Qual o conteúdo do texto cifrado (em hexadecimal)?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841091472604b96a841091472604b96a841091472604b96acdbc3e2fefa73bdd</w:t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4.2. Qual a extensão do texto cifrado? 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32 bytes</w:t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4.3. Avalie o conteúdo do texto cifrado. Que conclusão é possível obter a partir do texto cifrado e do texto simples?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O esquema de preenchimento adicionou mais 8 bytes para formar o conjunto de blocos a serem criptografados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5 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Criptografe o texto “FURB” e agora utilize o modo de operação “CBC”. 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5.1. Qual o conteúdo do texto cifrado (em hexadecimal)?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579d4e7333d43ab5</w:t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5.2. Tente decifrar o texto cifrado, para recuperar o texto simples. O que acontece?</w:t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