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A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851" w:hanging="425"/>
        <w:jc w:val="both"/>
        <w:rPr>
          <w:rFonts w:ascii="Arial" w:cs="Arial" w:eastAsia="Arial" w:hAnsi="Arial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Pautas para la Actuación Policial en el ámbito de comisarías en casos de violencia de género, familiar, vulneración de derechos de niños, niñas o adolescentes (NNoA), y diversidades.-</w:t>
      </w:r>
    </w:p>
    <w:p w:rsidR="00000000" w:rsidDel="00000000" w:rsidP="00000000" w:rsidRDefault="00000000" w:rsidRPr="00000000" w14:paraId="0000000C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right="122" w:hanging="425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abordaje de la violencia de género y familiar, y la protección de niños, niñas y adolescentes, no es una competencia exclusiva de las Comisarías de la Mujer y la Familia (CM y F), sino una obligación de todas las dependencias policiales.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2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425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dquirir y desarrollar competencias profesionales acordes con los marcos normativos vigentes y los lineamientos establecidos por las autoridades correspondientes, para garantizar el acceso a igualdad de condiciones y la protección de los derechos de estas poblaciones.- Articular acciones en la aplicación e implementación de protocolos y estándares comunes en la actuación policial, en lo referido a estas temáticas.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la propuesta es adquirir y desarrollar competencias profesionales acordes con los marcos normativos vigentes y los lineamientos establecidos por las autoridades correspondientes, para garantizar el acceso a igualdad de condiciones y la protección de los derechos de estas poblaciones. </w:t>
      </w:r>
      <w:r w:rsidDel="00000000" w:rsidR="00000000" w:rsidRPr="00000000">
        <w:rPr>
          <w:rFonts w:ascii="Arial" w:cs="Arial" w:eastAsia="Arial" w:hAnsi="Arial"/>
          <w:rtl w:val="0"/>
        </w:rPr>
        <w:t xml:space="preserve">En este mismo sentido, se propone articular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acciones en la aplicación e implementación de protocolos y estándares comunes en la actuación policial, en lo referido a estas temáticas.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clase se desarrolla además, el cuarto Trabajo Práctico que tiene calificación Valorativa con el que se espera unificar criterios de trabajos para futuros ejercicios. 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heading=h.n3my0bphqnxw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Materiales aportados en la clase del Taller.</w:t>
      </w:r>
      <w:r w:rsidDel="00000000" w:rsidR="00000000" w:rsidRPr="00000000">
        <w:rPr>
          <w:rFonts w:ascii="Arial" w:cs="Arial" w:eastAsia="Arial" w:hAnsi="Arial"/>
          <w:rtl w:val="0"/>
        </w:rPr>
        <w:t xml:space="preserve"> Lectura obligatoria.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Trabajo práctico n° 4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Z9sqsaUR4/0exb9BerbeZlewBg==">CgMxLjAyCGguZ2pkZ3hzMg5oLm4zbXkwYnBocW54dzgAciExVEg4M2JzODgtQkRJTEVOWFdZY3lCc0h4YnBZOGwwdjE=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