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ovvd3eb8ljy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851" w:hanging="425"/>
        <w:jc w:val="both"/>
        <w:rPr>
          <w:rFonts w:ascii="Arial" w:cs="Arial" w:eastAsia="Arial" w:hAnsi="Arial"/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Pautas para la Actuación Policial en el ámbito de comisarías en casos de violencia de género, familiar, vulneración de derechos de niños, niñas o adolescentes (NNoA), y diversidades.-</w:t>
      </w:r>
    </w:p>
    <w:p w:rsidR="00000000" w:rsidDel="00000000" w:rsidP="00000000" w:rsidRDefault="00000000" w:rsidRPr="00000000" w14:paraId="0000000D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right="122" w:hanging="42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abordaje de la violencia de género y familiar, y la protección de niños, niñas y adolescentes, no es una competencia exclusiva de las Comisarías de la Mujer y la Familia (CM y F), sino una obligación de todas las dependencias policiales.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425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personal debe adquirir y desarrollar competencias profesionales acordes con los marcos normativos vigentes y los lineamientos establecidos por las autoridades correspondientes, para garantizar el acceso a igualdad de condiciones y la protección de los derechos de estas poblaciones.- Articular acciones en la aplicación e implementación de protocolos y estándares comunes en la actuación policial, en lo referido a estas temáticas.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22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la propuesta es adquirir y desarrollar competencias profesionales acordes con los marcos normativos vigentes y los lineamientos establecidos por las autoridades correspondientes, para garantizar el acceso a igualdad de condiciones y la protección de los derechos de estas poblaciones.- Articular acciones en la aplicación e implementación de protocolos y estándares comunes en la actuación policial, en lo referido a estas temáticas.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de la Clase: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zbivb1lzqymh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AYtxH5nPDdsRjQbVskxQWk3Ug==">CgMxLjAyDmgub3Z2ZDNlYjhsanlwMghoLmdqZGd4czIOaC56Yml2YjFsenF5bWg4AHIhMXZhdlF0OFBNY1lVRzV6dDVuT1BxN2xIdlMwaHllaTQy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