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Artemis Momentum Factor Book</w:t>
      </w:r>
    </w:p>
    <w:p>
      <w:pPr>
        <w:jc w:val="center"/>
      </w:pPr>
      <w:r>
        <w:rPr>
          <w:i/>
          <w:color w:val="1F3A5F"/>
          <w:sz w:val="24"/>
        </w:rPr>
        <w:t>Project-Findings Write-Up — Cross-Sectional Momentum on an Artemis-Sourced Crypto Spot Universe</w:t>
      </w:r>
    </w:p>
    <w:p>
      <w:pPr>
        <w:jc w:val="center"/>
      </w:pPr>
      <w:r>
        <w:rPr>
          <w:color w:val="555555"/>
          <w:sz w:val="20"/>
        </w:rPr>
        <w:t>Date: 2026-05-30  |  Status: final deliverable (Stage 5)  |  Methodology: Project 1 Factor Book Guide</w:t>
      </w:r>
    </w:p>
    <w:p>
      <w:pPr>
        <w:spacing w:before="200" w:after="200"/>
        <w:jc w:val="center"/>
        <w:shd w:val="clear" w:color="auto" w:fill="FBE9E7"/>
      </w:pPr>
      <w:r>
        <w:rPr>
          <w:b/>
          <w:color w:val="B22222"/>
          <w:sz w:val="26"/>
        </w:rPr>
        <w:t>VERDICT: Momentum is a rigorous, regime-dependent statistical NULL on the Artemis spot universe — NO-DEPLOY.</w:t>
      </w:r>
    </w:p>
    <w:p>
      <w:pPr>
        <w:jc w:val="center"/>
      </w:pPr>
      <w:r>
        <w:rPr>
          <w:i/>
          <w:color w:val="555555"/>
          <w:sz w:val="17"/>
        </w:rPr>
        <w:t>All numbers in this write-up are quoted verbatim from the committed source-of-truth artifacts (docs/report/Artemis_Momentum_Report.md, docs/STAGE2_RESULTS.md, docs/STAGE4_RESULTS.md, docs/AUDIT.md, docs/specs/2026-05-30-artemis-momentum-design.md). Nothing is re-derived or invented.</w:t>
      </w:r>
    </w:p>
    <w:p>
      <w:pPr>
        <w:pStyle w:val="Heading1"/>
      </w:pPr>
      <w:r>
        <w:t>1. Executive Summary</w:t>
      </w:r>
    </w:p>
    <w:p>
      <w:r>
        <w:t>We tested cross-sectional momentum on an Artemis-sourced crypto spot universe and find no deployable factor. The recommendation is: do not deploy.</w:t>
      </w:r>
    </w:p>
    <w:p>
      <w:pPr>
        <w:pStyle w:val="ListBullet"/>
      </w:pPr>
      <w:r>
        <w:rPr>
          <w:b/>
        </w:rPr>
        <w:t xml:space="preserve">What we tested. </w:t>
      </w:r>
      <w:r>
        <w:t>Twenty-one momentum variants total — a pre-registered selection family of 7 lookbacks (1, 3, 5, 7, 14, 28, 56 days) at the convention skip of 1 day, plus 14 skip-{2,3} diagnostics reported for transparency but never eligible for deployment. The full Stage-2 significance battery was run on the in-sample slice; a sealed out-of-sample window was opened exactly once in the cost-aware backtest.</w:t>
      </w:r>
    </w:p>
    <w:p>
      <w:pPr>
        <w:pStyle w:val="ListBullet"/>
      </w:pPr>
      <w:r>
        <w:rPr>
          <w:b/>
        </w:rPr>
        <w:t xml:space="preserve">What held up — nothing, at the family level. </w:t>
      </w:r>
      <w:r>
        <w:t>No selection-family variant is significant on the Newey-West HAC test against the Bonferroni threshold (0.05 / 7 = 0.00714). The strongest, momentum_L5d_S1d, is HLZ-“suggestive” with HAC t = 2.403 and HAC p = 0.0081 — above the Bonferroni threshold. It clears Bonferroni only through the bootstrap-override rule (bootstrap p = 0.0058), and is then disqualified outright by the Stage-2.6 deployment gate because it flips sign across subsamples (holds_sign = no). Its deflated Sharpe is 0.460 and the grid PBO is 0.114.</w:t>
      </w:r>
    </w:p>
    <w:p>
      <w:pPr>
        <w:pStyle w:val="ListBullet"/>
      </w:pPr>
      <w:r>
        <w:rPr>
          <w:b/>
        </w:rPr>
        <w:t xml:space="preserve">Strongest variant, net of cost. </w:t>
      </w:r>
      <w:r>
        <w:t>Characterized for completeness, momentum_L5d_S1d posts an in-sample net Sharpe of 0.664 (gross 0.789) and an out-of-sample net Sharpe of 0.756 (gross 0.897). The OOS Sharpe did not collapse — but this is a single-regime artifact on a window of ~30 overlapping observations spent exactly once (the 2024 crypto bull), not a stable edge. The academic 4-week comparator momentum_L28d_S1d works only gross of costs: gross Sharpe 0.073 turns to net −0.031 in-sample and net −0.270 out-of-sample.</w:t>
      </w:r>
    </w:p>
    <w:p>
      <w:pPr>
        <w:pStyle w:val="ListBullet"/>
      </w:pPr>
      <w:r>
        <w:rPr>
          <w:b/>
        </w:rPr>
        <w:t xml:space="preserve">Recommendation. </w:t>
      </w:r>
      <w:r>
        <w:t>Do not deploy momentum on the Artemis spot universe. The suggestive ~5-day signal is a research lead, not a strategy. Capacity (~$36M) is comfortable and is not the binding constraint; the disqualification rests on multiple-testing failure, subsample sign-instability, regime dependence, fragility to the lookback parameter, and the disclosed data limitations.</w:t>
      </w:r>
    </w:p>
    <w:p>
      <w:pPr>
        <w:pStyle w:val="Heading1"/>
      </w:pPr>
      <w:r>
        <w:t>2. Objective &amp; Scope</w:t>
      </w:r>
    </w:p>
    <w:p>
      <w:r>
        <w:t>Determine, with full statistical rigor and net of realistic trading costs, whether a cross-sectional momentum factor on an Artemis-sourced crypto spot universe has a true positive expected return — as opposed to a sample artifact. The null hypothesis for every test is a true mean factor return of zero. If momentum is insignificant, that honest null is the deliverable.</w:t>
      </w:r>
    </w:p>
    <w:p>
      <w:pPr>
        <w:pStyle w:val="ListBullet"/>
      </w:pPr>
      <w:r>
        <w:rPr>
          <w:b/>
        </w:rPr>
        <w:t xml:space="preserve">In scope: </w:t>
      </w:r>
      <w:r>
        <w:t>the momentum factor only — construction, the statistical significance battery, in-sample deployment choice plus volatility targeting, a cost-aware backtest, and this research write-up.</w:t>
      </w:r>
    </w:p>
    <w:p>
      <w:pPr>
        <w:pStyle w:val="ListBullet"/>
      </w:pPr>
      <w:r>
        <w:rPr>
          <w:b/>
        </w:rPr>
        <w:t xml:space="preserve">Out of scope: </w:t>
      </w:r>
      <w:r>
        <w:t>size, short-term reversal, betting-against-beta, and carry as deployed factors; any multi-factor combination. A small-minus-big size control is built solely as a test-only regressor inside the Stage-2.4 spanning regression — it is never formed as a portfolio, never deployed.</w:t>
      </w:r>
    </w:p>
    <w:p>
      <w:pPr>
        <w:pStyle w:val="ListBullet"/>
      </w:pPr>
      <w:r>
        <w:rPr>
          <w:b/>
        </w:rPr>
        <w:t xml:space="preserve">Data source: </w:t>
      </w:r>
      <w:r>
        <w:t>all data sourced from Artemis. The study follows the Project 1 Factor Book Guide methodology strictly, differing only where the data source forces it; every such deviation is disclosed (Section 10).</w:t>
      </w:r>
    </w:p>
    <w:p>
      <w:pPr>
        <w:pStyle w:val="Heading1"/>
      </w:pPr>
      <w:r>
        <w:t>3. Data &amp; Universe</w:t>
      </w:r>
    </w:p>
    <w:p>
      <w:r>
        <w:t>The universe is enumerated programmatically from the Artemis /asset catalog (1,013 entries; 846 with any price data), on a daily point-in-time grid spanning 2018-01-01 to 2026-05-30 (2,598,912 panel rows). Eligibility filters (≥90 days history, ≥50% observation density, $10M market-cap floor, trailing-30d median 24H volume above threshold, staleness check, stablecoin and wrapped-token exclusion) are rebuilt as-of each date.</w:t>
      </w:r>
    </w:p>
    <w:p>
      <w:r>
        <w:t>Dead and collapsed coins are kept: 238 of 846 assets (28%) exhibit a terminal &gt;90% drawdown (15 formally delisted + 223 still-printing “zombies”), and every one of their crash returns is carried into the P&amp;L (the LUNA/lunc −99.99% collapse included). Recycled tickers are split into distinct synthetic assets so a revived ticker is never spliced onto a dead one. Holding return is the simple spot price return — Artemis exposes no perpetual funding, so no funding term is modeled (disclosed). Residual survivorship — coins fully purged from Artemis before the query — is an unestimable lower bound; reported factor returns are therefore upper bounds relative to a hypothetically complete universe.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Artemis /asset catalog entries (as-of-today)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1,013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Assets with any price data (panel)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846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Date range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2018-01-01 → 2026-05-30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Panel rows (date × symbol)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2,598,912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Total terminal collapses (&gt;90% drawdown, carried)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238 (28%)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— delisted cohort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— zombie cohort (still printing near-zero)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223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Left-censored assets (first price = 2018-01-01)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272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Assets ever eligible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303</w:t>
            </w:r>
          </w:p>
        </w:tc>
      </w:tr>
      <w:tr>
        <w:tc>
          <w:tcPr>
            <w:tcW w:type="dxa" w:w="63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Assets eligible on latest date (2026-05-30)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226</w:t>
            </w:r>
          </w:p>
        </w:tc>
      </w:tr>
    </w:tbl>
    <w:p>
      <w:r>
        <w:rPr>
          <w:i/>
          <w:color w:val="555555"/>
          <w:sz w:val="18"/>
        </w:rPr>
        <w:t>Table 1 — Universe and survivorship figures (docs/AUDIT.md).</w:t>
      </w:r>
    </w:p>
    <w:p>
      <w:pPr>
        <w:pStyle w:val="Heading1"/>
      </w:pPr>
      <w:r>
        <w:t>4. Methodology</w:t>
      </w:r>
    </w:p>
    <w:p>
      <w:pPr>
        <w:pStyle w:val="Heading2"/>
      </w:pPr>
      <w:r>
        <w:t>4.1 Momentum construction</w:t>
      </w:r>
    </w:p>
    <w:p>
      <w:r>
        <w:t>Signal = trailing log-sum return over a fixed lookback, shifted by a skip. The 7-lookback grid is fixed in advance (academic 14/28/56-day plus crypto-short 1/3/5/7-day); skip is a nuisance parameter fixed by convention at 1 day. The eligible universe is sorted into quintiles, long the top 20% / short the bottom 20%, equal-weight within each leg, dollar-neutral. The signal uses data through the close of t; the position is entered at the close of t+1 (a mandatory, unit-tested one-period lag — no look-ahead).</w:t>
      </w:r>
    </w:p>
    <w:p>
      <w:pPr>
        <w:pStyle w:val="Heading2"/>
      </w:pPr>
      <w:r>
        <w:t>4.2 Stage-2 significance battery</w:t>
      </w:r>
    </w:p>
    <w:p>
      <w:r>
        <w:t>Per variant, the battery runs:</w:t>
      </w:r>
    </w:p>
    <w:p>
      <w:pPr>
        <w:pStyle w:val="ListBullet"/>
      </w:pPr>
      <w:r>
        <w:rPr>
          <w:b/>
        </w:rPr>
        <w:t xml:space="preserve">Newey-West HAC t-stat </w:t>
      </w:r>
      <w:r>
        <w:t>(autocorrelation-robust) is the reported mean-return test, with bandwidth covering the holding-period overlap; the naive t-stat is shown but flagged biased and is never the headline.</w:t>
      </w:r>
    </w:p>
    <w:p>
      <w:pPr>
        <w:pStyle w:val="ListBullet"/>
      </w:pPr>
      <w:r>
        <w:rPr>
          <w:b/>
        </w:rPr>
        <w:t xml:space="preserve">Lo (2002) Sharpe SE </w:t>
      </w:r>
      <w:r>
        <w:t>(autocorrelation-corrected when Ljung-Box fires).</w:t>
      </w:r>
    </w:p>
    <w:p>
      <w:pPr>
        <w:pStyle w:val="ListBullet"/>
      </w:pPr>
      <w:r>
        <w:rPr>
          <w:b/>
        </w:rPr>
        <w:t xml:space="preserve">Spanning regression </w:t>
      </w:r>
      <w:r>
        <w:t>of the factor on {equal-weight market return, small-minus-big size control} reporting the HAC-t alpha (the size control is a TEST-ONLY regressor).</w:t>
      </w:r>
    </w:p>
    <w:p>
      <w:pPr>
        <w:pStyle w:val="ListBullet"/>
      </w:pPr>
      <w:r>
        <w:rPr>
          <w:b/>
        </w:rPr>
        <w:t xml:space="preserve">Bonferroni &amp; Harvey-Liu-Zhu </w:t>
      </w:r>
      <w:r>
        <w:t>on the pre-registered family of 7 (0.05 / 7 = 0.00714) and HLZ tiers.</w:t>
      </w:r>
    </w:p>
    <w:p>
      <w:pPr>
        <w:pStyle w:val="ListBullet"/>
      </w:pPr>
      <w:r>
        <w:rPr>
          <w:b/>
        </w:rPr>
        <w:t xml:space="preserve">Stationary block bootstrap </w:t>
      </w:r>
      <w:r>
        <w:t>(arch) as the bootstrap of record; a Newey-West/bootstrap disagreement across the adjusted threshold defers to the bootstrap.</w:t>
      </w:r>
    </w:p>
    <w:p>
      <w:pPr>
        <w:pStyle w:val="ListBullet"/>
      </w:pPr>
      <w:r>
        <w:rPr>
          <w:b/>
        </w:rPr>
        <w:t xml:space="preserve">Subsample sign-stability </w:t>
      </w:r>
      <w:r>
        <w:t>(halves and thirds) as a hard deployment gate — a sign-flip disqualifies regardless of t-stat.</w:t>
      </w:r>
    </w:p>
    <w:p>
      <w:pPr>
        <w:pStyle w:val="ListBullet"/>
      </w:pPr>
      <w:r>
        <w:rPr>
          <w:b/>
        </w:rPr>
        <w:t xml:space="preserve">Deflated Sharpe (DSR) and PBO/CSCV </w:t>
      </w:r>
      <w:r>
        <w:t>to quantify selection overfit.</w:t>
      </w:r>
    </w:p>
    <w:p>
      <w:r>
        <w:t>Sealed OOS and cost-aware backtest. The most recent ~30% of rebalance dates (OOS_START = 2023-12-02) were reserved before any statistic was computed and opened exactly once, in Stage 4, under a single-use guard. The backtest applies a 10 bps spot taker fee per side plus size-scaled tiered slippage, executes at the t+1 close, and reports the full net metric set plus a capacity estimate.</w:t>
      </w:r>
    </w:p>
    <w:p>
      <w:pPr>
        <w:pStyle w:val="Heading1"/>
      </w:pPr>
      <w:r>
        <w:t>5. Significance Results</w:t>
      </w:r>
    </w:p>
    <w:p>
      <w:r>
        <w:t>No selection-family (skip = 1) variant is significant on the Newey-West HAC test at the Bonferroni threshold (0.05 / 7 = 0.00714). The lowest family p-value is momentum_L5d_S1d at 0.0081 — above the 0.00714 threshold. L5d is HLZ-“suggestive” but disqualified by sign-instability (holds_sign = no) and only clears Bonferroni via the bootstrap-override rule (bootstrap p = 0.0058). The visually striking t≈5 diagnostics (e.g. L3d/S3d HAC t = 5.015, L14d/S3d HAC t = 3.949) are NOT in the selection family and were never eligible for deployment.</w:t>
      </w:r>
    </w:p>
    <w:p>
      <w:r>
        <w:t>Was there alpha? Only momentum_L5d_S1d has a spanning-alpha t-stat above 2 (2.206) within the selection family; all other family variants are below 1.62 (the next-highest is L7d at 1.614, then L14d at 1.597). There is no robust alpha. Grid-level overfit controls: PBO/CSCV = 0.114 (below the 0.5 threshold but on a correlated family — Figure 5 shows short lookbacks cluster tightly, so the effective independent-test count is below 7).</w:t>
      </w:r>
    </w:p>
    <w:p>
      <w:pPr>
        <w:pStyle w:val="Heading2"/>
      </w:pPr>
      <w:r>
        <w:t>5.1 Selection family (skip = 1) — deployment candidates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variant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n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naive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HAC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HLZ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ann ret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Sharpe (SE)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autocorr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span α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span α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HAC p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boot p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disagree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holds sign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power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DSR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survives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momentum_L14d_S1d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1.902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1.945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0.5128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0.799 (0.425)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0.02310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1.597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0.0259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0.0354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0.308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-1.247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-1.300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-0.3078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-0.524 (0.422)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-0.02502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-1.457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0.9032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0.9102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momentum_L28d_S1d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0.911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0.955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0.2791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0.383 (0.421)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-0.00197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-0.104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0.1698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0.1780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momentum_L3d_S1d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1.606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1.533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0.4098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0.674 (0.424)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0.01265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0.811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0.0626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0.0656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0.198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momentum_L56d_S1d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0.935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0.756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0.2683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0.393 (0.525)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0.00777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0.351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0.2249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0.2024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momentum_L5d_S1d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2.315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2.403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0.6163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0.972 (0.428)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0.04631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2.206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0.0081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0.0058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0.460</w:t>
            </w:r>
          </w:p>
        </w:tc>
        <w:tc>
          <w:tcPr>
            <w:tcW w:type="dxa" w:w="508"/>
            <w:shd w:val="clear" w:color="auto" w:fill="E6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momentum_L7d_S1d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2.068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1.887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0.6209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0.868 (0.426)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0.04020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1.614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0.0296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0.0214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0.352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</w:tbl>
    <w:p>
      <w:r>
        <w:rPr>
          <w:i/>
          <w:color w:val="555555"/>
          <w:sz w:val="18"/>
        </w:rPr>
        <w:t>Table 2 — Selection-family significance battery (docs/STAGE2_RESULTS.md). The shaded row is the strongest candidate, momentum_L5d_S1d: the sole bootstrap-override Bonferroni survivor, disqualified by the §2.6 sign-stability gate (holds sign = no).</w:t>
      </w:r>
    </w:p>
    <w:p>
      <w:pPr>
        <w:pStyle w:val="Heading2"/>
      </w:pPr>
      <w:r>
        <w:t>5.2 Diagnostics (skip = 2, 3) — reported, not selected</w:t>
      </w:r>
    </w:p>
    <w:p>
      <w:r>
        <w:t>These 14 variants are reported for transparency and were never eligible for deployment. Together with the 7-variant family they make up the full 21-variant trial grid.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variant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n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naive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HAC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HLZ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ann ret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Sharpe (SE)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autocorr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span α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span α t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HAC p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boot p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disagree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holds sign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power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DSR</w:t>
            </w:r>
          </w:p>
        </w:tc>
        <w:tc>
          <w:tcPr>
            <w:tcW w:type="dxa" w:w="50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2"/>
              </w:rPr>
              <w:t>survives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momentum_L14d_S2d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2.369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2.298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0.6492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0.995 (0.428)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0.03656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2.197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0.0108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0.0140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0.481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momentum_L14d_S3d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3.241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3.949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0.8988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1.361 (0.436)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0.06042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3.888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0.0000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0.0006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0.805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0.075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0.0288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0.032 (0.420)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-0.03414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-1.504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0.4724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0.4459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momentum_L1d_S3d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3.338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2.851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1.0432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1.402 (0.437)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0.07471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2.654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0.0022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0.0054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0.870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momentum_L28d_S2d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0.872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0.937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0.2497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0.366 (0.421)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0.00301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0.167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0.1744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0.1758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0.060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momentum_L28d_S3d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1.416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1.393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0.3889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0.595 (0.423)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0.01918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1.061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0.0818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0.0804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0.142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momentum_L3d_S2d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2.766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2.378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1.0109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1.161 (0.505)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0.04369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2.105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0.0087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0.0192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0.653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momentum_L3d_S3d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4.663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5.015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1.0807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1.958 (0.452)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0.08099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4.735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0.0000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0.0002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0.985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momentum_L56d_S2d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1.217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0.990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0.3780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0.511 (0.522)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0.00903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0.412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0.1610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0.1466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0.099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momentum_L56d_S3d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1.075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0.891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not_significant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0.3159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0.451 (0.513)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0.01069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0.517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0.1866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0.1658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0.081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2.508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2.588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0.9616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1.053 (0.429)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0.04495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2.048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0.0048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0.0108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0.558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momentum_L5d_S3d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2.857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2.660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0.8167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1.200 (0.432)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0.05033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2.179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0.0039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0.0030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0.675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momentum_L7d_S2d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2.097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2.327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0.6428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0.881 (0.427)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0.03496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1.681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0.0100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0.0116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0.372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  <w:tr>
        <w:tc>
          <w:tcPr>
            <w:tcW w:type="dxa" w:w="5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2"/>
              </w:rPr>
              <w:t>momentum_L7d_S3d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69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1.925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2.102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suggestive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0.5245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0.808 (0.426)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0.03522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2.075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0.0178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0.0110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powered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0.330</w:t>
            </w:r>
          </w:p>
        </w:tc>
        <w:tc>
          <w:tcPr>
            <w:tcW w:type="dxa" w:w="50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2"/>
              </w:rPr>
              <w:t>no</w:t>
            </w:r>
          </w:p>
        </w:tc>
      </w:tr>
    </w:tbl>
    <w:p>
      <w:r>
        <w:rPr>
          <w:i/>
          <w:color w:val="555555"/>
          <w:sz w:val="18"/>
        </w:rPr>
        <w:t>Table 3 — Diagnostic variants (docs/STAGE2_RESULTS.md). The high diagnostic Sharpes (L3d/S3d, L14d/S3d) sit outside the pre-registered selection family.</w:t>
      </w:r>
    </w:p>
    <w:p>
      <w:pPr>
        <w:pStyle w:val="Heading1"/>
      </w:pPr>
      <w:r>
        <w:t>6. Backtest &amp; Out-of-Sample</w:t>
      </w:r>
    </w:p>
    <w:p>
      <w:r>
        <w:t>For completeness we characterized the strongest candidate, momentum_L5d_S1d, net of realistic spot costs. This characterizes the candidate; it does not rescue it — the Stage-2 disqualification stands.</w:t>
      </w:r>
    </w:p>
    <w:p>
      <w:pPr>
        <w:pStyle w:val="Heading2"/>
      </w:pPr>
      <w:r>
        <w:t>6.1 Gross vs net, in-sample vs out-of-sample</w:t>
      </w:r>
    </w:p>
    <w:p>
      <w:r>
        <w:t>Primary candidate momentum_L5d_S1d: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gross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ret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vol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Sortino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max DD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Calmar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hit rate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ann turnover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in-sample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0.789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0.664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0.2490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0.3752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0.756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-0.4851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0.513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24.31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out-of-sample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0.756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0.2469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0.3266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-0.2516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0.981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0.567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28.22</w:t>
            </w:r>
          </w:p>
        </w:tc>
      </w:tr>
    </w:tbl>
    <w:p>
      <w:r>
        <w:rPr>
          <w:i/>
          <w:color w:val="555555"/>
          <w:sz w:val="18"/>
        </w:rPr>
        <w:t>Table 4 — Primary L5d_S1d gross/net, IS/OOS (docs/STAGE4_RESULTS.md).</w:t>
      </w:r>
    </w:p>
    <w:p>
      <w:r>
        <w:t>Academic 4-week comparator momentum_L28d_S1d — “works only gross”: positive gross in-sample (Sharpe 0.073) but net-negative both in-sample (net −0.031) and out-of-sample (net −0.270, gross −0.158). The canonical horizon does not work net of costs.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gross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ret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vol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Sortino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max DD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Calmar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hit rate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ann turnover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in-sample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0.073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-0.031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-0.0134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0.4314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-0.030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-0.6809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-0.020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0.559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23.90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out-of-sample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-0.158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-0.270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-0.0818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0.3031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-0.283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-0.5168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-0.158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0.433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26.57</w:t>
            </w:r>
          </w:p>
        </w:tc>
      </w:tr>
    </w:tbl>
    <w:p>
      <w:r>
        <w:rPr>
          <w:i/>
          <w:color w:val="555555"/>
          <w:sz w:val="18"/>
        </w:rPr>
        <w:t>Table 5 — Comparator L28d_S1d gross/net, IS/OOS (docs/STAGE4_RESULTS.md).</w:t>
      </w:r>
    </w:p>
    <w:p>
      <w:pPr>
        <w:pStyle w:val="ListBullet"/>
      </w:pPr>
      <w:r>
        <w:rPr>
          <w:b/>
        </w:rPr>
        <w:t xml:space="preserve">IS − OOS net Sharpe gap = −0.092. </w:t>
      </w:r>
      <w:r>
        <w:t>The OOS figure exceeds in-sample, but this is a spent-once, ~30-observation, single-regime (2024-bull) artifact — not evidence of a stable edge. A near-zero or negative OOS Sharpe would have been reported as overfitting; the positive figure is reported as-is and interpreted as regime exposure.</w:t>
      </w:r>
    </w:p>
    <w:p>
      <w:pPr>
        <w:pStyle w:val="ListBullet"/>
      </w:pPr>
      <w:r>
        <w:rPr>
          <w:b/>
        </w:rPr>
        <w:t xml:space="preserve">Capacity ≈ $36,044,481 </w:t>
      </w:r>
      <w:r>
        <w:t>— the AUM at which size-scaled slippage on the actual per-rebalance traded order (~2.0× summed one-way turnover) erases the gross edge (per-rebalance gross edge 0.02436). This is comfortably above a $1M book, so capacity is not the binding constraint.</w:t>
      </w:r>
    </w:p>
    <w:p>
      <w:pPr>
        <w:pStyle w:val="ListBullet"/>
      </w:pPr>
      <w:r>
        <w:rPr>
          <w:b/>
        </w:rPr>
        <w:t xml:space="preserve">Turnover </w:t>
      </w:r>
      <w:r>
        <w:t>is ~24 (IS) / ~28 (OOS) annualized — high, consistent with a 5-day signal.</w:t>
      </w:r>
    </w:p>
    <w:p>
      <w:r>
        <w:t>Additional net metrics (total return, average win / loss) are reported in the Appendix (Table 9).</w:t>
      </w:r>
    </w:p>
    <w:p>
      <w:pPr>
        <w:pStyle w:val="Heading2"/>
      </w:pPr>
      <w:r>
        <w:t>6.2 Robustness</w:t>
      </w:r>
    </w:p>
    <w:p>
      <w:r>
        <w:t>2× costs (in-sample, primary): net Sharpe degrades from 0.664 to 0.552 (gross unchanged at 0.789; max DD widens to −0.5219). The edge thins materially under a doubled cost assumption. This is a sensitivity rerun of the deployed construction, not a re-selection.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gross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Sharpe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ret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net ann vol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Sortino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max DD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Calmar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hit rate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ann turnover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1x costs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0.789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0.664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0.2490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0.3752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0.756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-0.4851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0.513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24.31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2x costs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0.789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0.552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0.2072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0.3753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0.610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-0.5219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0.397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8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24.32</w:t>
            </w:r>
          </w:p>
        </w:tc>
      </w:tr>
    </w:tbl>
    <w:p>
      <w:r>
        <w:rPr>
          <w:i/>
          <w:color w:val="555555"/>
          <w:sz w:val="18"/>
        </w:rPr>
        <w:t>Table 6 — 2×-cost sensitivity, in-sample (docs/STAGE4_RESULTS.md).</w:t>
      </w:r>
    </w:p>
    <w:p>
      <w:r>
        <w:t>±50% lookback (in-sample, net): the construction is fragile to its one free parameter. A −50% lookback (L2d) flips the candidate net-negative (−0.328) — not robust.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88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72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net Sharpe</w:t>
            </w:r>
          </w:p>
        </w:tc>
        <w:tc>
          <w:tcPr>
            <w:tcW w:type="dxa" w:w="172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net ann ret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momentum_L5d_S1d (chosen)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0.664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0.2490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chosen lookback = 5d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momentum_L2d_S1d (−50%)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-0.328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-0.1155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lookback halved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momentum_L8d_S1d (+50%)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0.621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0.2645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lookback up 50%</w:t>
            </w:r>
          </w:p>
        </w:tc>
      </w:tr>
    </w:tbl>
    <w:p>
      <w:r>
        <w:rPr>
          <w:i/>
          <w:color w:val="555555"/>
          <w:sz w:val="18"/>
        </w:rPr>
        <w:t>Table 7 — ±50% lookback robustness, in-sample net (docs/STAGE4_RESULTS.md).</w:t>
      </w:r>
    </w:p>
    <w:p>
      <w:r>
        <w:t>Regime breakdown (in-sample, net mean return per regime):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regime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mean net return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bull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-0.00624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bear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0.02195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chop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0.03453</w:t>
            </w:r>
          </w:p>
        </w:tc>
      </w:tr>
    </w:tbl>
    <w:p>
      <w:r>
        <w:rPr>
          <w:i/>
          <w:color w:val="555555"/>
          <w:sz w:val="18"/>
        </w:rPr>
        <w:t>Table 8 — Regime breakdown, in-sample net mean return (docs/STAGE4_RESULTS.md).</w:t>
      </w:r>
    </w:p>
    <w:p>
      <w:r>
        <w:rPr>
          <w:i/>
          <w:color w:val="555555"/>
          <w:sz w:val="19"/>
        </w:rPr>
        <w:t>Caveat (do not over-read): this is a full-sample, descriptive partition, not a walk-forward signal — it could not have been traded ex-ante. The chop bucket is the top-|market-move| tercile, which on this sample skews toward large up moves, so the apparent “negative in bull / positive in bear” contrast is overstated and is an artifact of where the magnitude cut falls. The disqualifying evidence is the Stage-2 §2.6 sign-instability itself, not this descriptive split.</w:t>
      </w:r>
    </w:p>
    <w:p>
      <w:r>
        <w:t>One-shot OOS, single-regime character. The OOS window is 30 overlapping-regime observations spent exactly once; a single favorable stretch (the 2024 crypto bull) carries the positive OOS Sharpe, interpreted as regime exposure, consistent with the sign-flip disqualification.</w:t>
      </w:r>
    </w:p>
    <w:p>
      <w:pPr>
        <w:pStyle w:val="Heading1"/>
      </w:pPr>
      <w:r>
        <w:t>7. Figures</w:t>
      </w:r>
    </w:p>
    <w:p>
      <w:r>
        <w:t>The five figures below visualize the P&amp;L path, drawdown, rolling Sharpe, per-variant Sharpe, and family correlation. Each takeaway is copied verbatim from the figure-generation script.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umulative_pn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18"/>
        </w:rPr>
        <w:t>Figure 1 — Cumulative P&amp;L: L5d gross &amp; net vs L28d net.</w:t>
      </w:r>
    </w:p>
    <w:p>
      <w:pPr>
        <w:jc w:val="center"/>
      </w:pPr>
      <w:r>
        <w:rPr>
          <w:i/>
          <w:color w:val="555555"/>
          <w:sz w:val="18"/>
        </w:rPr>
        <w:t>Takeaway: L5d net grows steadily in-sample but is a regime-sensitive path; L28d net decays to near-zero — the canonical 4-week lookback does not survive costs.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26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18"/>
        </w:rPr>
        <w:t>Figure 2 — Drawdown (L5d net, primary candidate).</w:t>
      </w:r>
    </w:p>
    <w:p>
      <w:pPr>
        <w:jc w:val="center"/>
      </w:pPr>
      <w:r>
        <w:rPr>
          <w:i/>
          <w:color w:val="555555"/>
          <w:sz w:val="18"/>
        </w:rPr>
        <w:t>Takeaway: In-sample max drawdown of −48.5% dwarfs the OOS −25.2%, consistent with the sign-instability finding; drawdown is material relative to returns at both horizons.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26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lling_shar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18"/>
        </w:rPr>
        <w:t>Figure 3 — Rolling 6-month Sharpe, L5d net.</w:t>
      </w:r>
    </w:p>
    <w:p>
      <w:pPr>
        <w:jc w:val="center"/>
      </w:pPr>
      <w:r>
        <w:rPr>
          <w:i/>
          <w:color w:val="555555"/>
          <w:sz w:val="18"/>
        </w:rPr>
        <w:t>Takeaway: Rolling Sharpe oscillates widely and dips sharply negative in multiple sub-windows, confirming that any positive in-sample/OOS Sharpe is driven by episodic regimes rather than a stable factor.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6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ariant_sharpe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18"/>
        </w:rPr>
        <w:t>Figure 4 — Gross Sharpe by variant: selection family (skip=1) vs diagnostics (skip=2,3).</w:t>
      </w:r>
    </w:p>
    <w:p>
      <w:pPr>
        <w:jc w:val="center"/>
      </w:pPr>
      <w:r>
        <w:rPr>
          <w:i/>
          <w:color w:val="555555"/>
          <w:sz w:val="18"/>
        </w:rPr>
        <w:t>Takeaway: No selection-family variant clears the Bonferroni threshold on Newey-West; the eye-catching high Sharpes (L3d/S3, L14d/S3) are in the diagnostic zone and were never eligible for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3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ariant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18"/>
        </w:rPr>
        <w:t>Figure 5 — Factor-return correlation: selection family (skip=1).</w:t>
      </w:r>
    </w:p>
    <w:p>
      <w:pPr>
        <w:jc w:val="center"/>
      </w:pPr>
      <w:r>
        <w:rPr>
          <w:i/>
          <w:color w:val="555555"/>
          <w:sz w:val="18"/>
        </w:rPr>
        <w:t>Takeaway: Short lookbacks (L1d–L5d) cluster together with high mutual correlation, while longer lookbacks (L14d–L56d) form a separate cluster; the family is far from orthogonal, reducing independent-test count below 7.</w:t>
      </w:r>
    </w:p>
    <w:p>
      <w:pPr>
        <w:pStyle w:val="Heading1"/>
      </w:pPr>
      <w:r>
        <w:t>8. Conclusion &amp; Recommendation</w:t>
      </w:r>
    </w:p>
    <w:p>
      <w:r>
        <w:t>Do not deploy. Target allocation to a momentum sleeve on the Artemis spot universe: zero.</w:t>
      </w:r>
    </w:p>
    <w:p>
      <w:pPr>
        <w:pStyle w:val="ListBullet"/>
      </w:pPr>
      <w:r>
        <w:rPr>
          <w:b/>
        </w:rPr>
        <w:t xml:space="preserve">Expected Sharpe (range): </w:t>
      </w:r>
      <w:r>
        <w:t>for the strongest candidate, net Sharpe sits in roughly 0.66–0.76 in the realized sample, but with no statistically reliable edge and a true expected Sharpe indistinguishable from zero once multiple testing, sign-instability, and the single-regime OOS are accounted for. We do not represent this as a deployable expectation.</w:t>
      </w:r>
    </w:p>
    <w:p>
      <w:pPr>
        <w:pStyle w:val="ListBullet"/>
      </w:pPr>
      <w:r>
        <w:rPr>
          <w:b/>
        </w:rPr>
        <w:t xml:space="preserve">The suggestive ~5-day signal is a research lead, not a strategy. </w:t>
      </w:r>
      <w:r>
        <w:t>It would warrant follow-up only with (a) more independent observations, (b) a cleaner, lower-turnover construction, and (c) a true point-in-time universe that addresses residual survivorship.</w:t>
      </w:r>
    </w:p>
    <w:p>
      <w:pPr>
        <w:pStyle w:val="ListBullet"/>
      </w:pPr>
      <w:r>
        <w:rPr>
          <w:b/>
        </w:rPr>
        <w:t xml:space="preserve">Key risks if (against this recommendation) deployed: </w:t>
      </w:r>
      <w:r>
        <w:t>regime dependence (the return is regime exposure, not a stable factor); selection / multiple-testing fragility (no family Bonferroni survivor on its own terms); subsample sign-instability (the hard disqualifier); parameter fragility (±50% lookback breaks it); and data limitations (no funding, daily t+1-close execution, volume unreliability, residual survivorship).</w:t>
      </w:r>
    </w:p>
    <w:p>
      <w:pPr>
        <w:pStyle w:val="ListBullet"/>
      </w:pPr>
      <w:r>
        <w:rPr>
          <w:b/>
        </w:rPr>
        <w:t xml:space="preserve">Next steps: </w:t>
      </w:r>
      <w:r>
        <w:t>treat momentum as closed for deployment on this universe; if revisited, pursue the above three conditions, and consider it only as one input to a broader, properly multiple-testing-controlled research program — never as a standalone sleeve.</w:t>
      </w:r>
    </w:p>
    <w:p>
      <w:pPr>
        <w:pStyle w:val="Heading1"/>
      </w:pPr>
      <w:r>
        <w:t>9. Limitations &amp; Disclosures</w:t>
      </w:r>
    </w:p>
    <w:p>
      <w:pPr>
        <w:pStyle w:val="ListBullet"/>
      </w:pPr>
      <w:r>
        <w:rPr>
          <w:b/>
        </w:rPr>
        <w:t xml:space="preserve">No funding / spot: </w:t>
      </w:r>
      <w:r>
        <w:t>Artemis exposes no perpetual funding; returns and costs carry no funding term (the guide's third cost component is N/A and stated).</w:t>
      </w:r>
    </w:p>
    <w:p>
      <w:pPr>
        <w:pStyle w:val="ListBullet"/>
      </w:pPr>
      <w:r>
        <w:rPr>
          <w:b/>
        </w:rPr>
        <w:t xml:space="preserve">Daily, t+1-close execution: </w:t>
      </w:r>
      <w:r>
        <w:t>Artemis serves daily granularity only; fills are at the t+1 close with slippage applied — a one-period lag, not a costless intraday fill.</w:t>
      </w:r>
    </w:p>
    <w:p>
      <w:pPr>
        <w:pStyle w:val="ListBullet"/>
      </w:pPr>
      <w:r>
        <w:rPr>
          <w:b/>
        </w:rPr>
        <w:t xml:space="preserve">Wrapped-token exclusion: </w:t>
      </w:r>
      <w:r>
        <w:t>wrapped tokens (WBTC, WETH, stETH, …) are excluded as redundant price exposures of their underlyings — a deliberate, disclosed deviation from the guide.</w:t>
      </w:r>
    </w:p>
    <w:p>
      <w:pPr>
        <w:pStyle w:val="ListBullet"/>
      </w:pPr>
      <w:r>
        <w:rPr>
          <w:b/>
        </w:rPr>
        <w:t xml:space="preserve">Residual (as-of-today catalog) survivorship: </w:t>
      </w:r>
      <w:r>
        <w:t>the Artemis catalog is an as-of-today snapshot with no listing/delisting dates; coins fully purged before the query are unrecoverable. This is an unestimable lower bound on survivorship bias; reported factor returns are upper bounds.</w:t>
      </w:r>
    </w:p>
    <w:p>
      <w:pPr>
        <w:pStyle w:val="ListBullet"/>
      </w:pPr>
      <w:r>
        <w:rPr>
          <w:b/>
        </w:rPr>
        <w:t xml:space="preserve">Volume reliability: </w:t>
      </w:r>
      <w:r>
        <w:t>only 24H_VOLUME is historical (30D_VOLUME is real-time only) and is unreliable cross-sectionally; liquidity is gated on a market-cap floor + trailing-30d median 24H volume — a disclosed deviation from the guide's mean-ADV rule.</w:t>
      </w:r>
    </w:p>
    <w:p>
      <w:pPr>
        <w:pStyle w:val="ListBullet"/>
      </w:pPr>
      <w:r>
        <w:rPr>
          <w:b/>
        </w:rPr>
        <w:t xml:space="preserve">Survivorship flows into P&amp;L: </w:t>
      </w:r>
      <w:r>
        <w:t>a collapsed short-leg coin's crash books as a positive contribution; dead coins are not dropped (238/846, 28% terminal collapses carried).</w:t>
      </w:r>
    </w:p>
    <w:p>
      <w:pPr>
        <w:pStyle w:val="ListBullet"/>
      </w:pPr>
      <w:r>
        <w:rPr>
          <w:b/>
        </w:rPr>
        <w:t xml:space="preserve">Gross vs net, never flattered: </w:t>
      </w:r>
      <w:r>
        <w:t>spot costs reduce every reported Sharpe; net is never flattered above gross. The OOS window was opened exactly once (single-use guard).</w:t>
      </w:r>
    </w:p>
    <w:p>
      <w:pPr>
        <w:pStyle w:val="Heading1"/>
      </w:pPr>
      <w:r>
        <w:t>10. Appendix</w:t>
      </w:r>
    </w:p>
    <w:p>
      <w:pPr>
        <w:pStyle w:val="Heading2"/>
      </w:pPr>
      <w:r>
        <w:t>10.1 Additional Stage-4 net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2016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728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total return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avg win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avg loss</w:t>
            </w:r>
          </w:p>
        </w:tc>
      </w:tr>
      <w:tr>
        <w:tc>
          <w:tcPr>
            <w:tcW w:type="dxa" w:w="2736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Primary L5d_S1d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in-sample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1.7225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0.08584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-0.06745</w:t>
            </w:r>
          </w:p>
        </w:tc>
      </w:tr>
      <w:tr>
        <w:tc>
          <w:tcPr>
            <w:tcW w:type="dxa" w:w="2736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Primary L5d_S1d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out-of-sample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0.6266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0.07509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-0.05136</w:t>
            </w:r>
          </w:p>
        </w:tc>
      </w:tr>
      <w:tr>
        <w:tc>
          <w:tcPr>
            <w:tcW w:type="dxa" w:w="2736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Comparator L28d_S1d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in-sample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-0.4518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0.06534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-0.08526</w:t>
            </w:r>
          </w:p>
        </w:tc>
      </w:tr>
      <w:tr>
        <w:tc>
          <w:tcPr>
            <w:tcW w:type="dxa" w:w="2736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Comparator L28d_S1d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out-of-sample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-0.2687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0.06283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-0.05991</w:t>
            </w:r>
          </w:p>
        </w:tc>
      </w:tr>
    </w:tbl>
    <w:p>
      <w:r>
        <w:rPr>
          <w:i/>
          <w:color w:val="555555"/>
          <w:sz w:val="18"/>
        </w:rPr>
        <w:t>Table 9 — Additional §4.5 net metrics: total return, average win / loss (docs/STAGE4_RESULTS.md).</w:t>
      </w:r>
    </w:p>
    <w:p>
      <w:pPr>
        <w:pStyle w:val="Heading2"/>
      </w:pPr>
      <w:r>
        <w:t>10.2 Methodology references</w:t>
      </w:r>
    </w:p>
    <w:p>
      <w:pPr>
        <w:pStyle w:val="ListBullet"/>
      </w:pPr>
      <w:r>
        <w:t>Newey, W.K. &amp; West, K.D. (1987) — HAC (autocorrelation-robust) standard errors, the reported mean-return test.</w:t>
      </w:r>
    </w:p>
    <w:p>
      <w:pPr>
        <w:pStyle w:val="ListBullet"/>
      </w:pPr>
      <w:r>
        <w:t>Lo, A.W. (2002) — the statistics of Sharpe ratios (autocorrelation-corrected Sharpe standard error).</w:t>
      </w:r>
    </w:p>
    <w:p>
      <w:pPr>
        <w:pStyle w:val="ListBullet"/>
      </w:pPr>
      <w:r>
        <w:t>Harvey, Liu &amp; Zhu (2016) — “...and the Cross-Section of Expected Returns” (multiple-testing thresholds / HLZ tiers).</w:t>
      </w:r>
    </w:p>
    <w:p>
      <w:pPr>
        <w:pStyle w:val="ListBullet"/>
      </w:pPr>
      <w:r>
        <w:t>Bailey &amp; Lopez de Prado — the Deflated Sharpe Ratio and PBO/CSCV (probability of backtest overfitting).</w:t>
      </w:r>
    </w:p>
    <w:p>
      <w:pPr>
        <w:pStyle w:val="ListBullet"/>
      </w:pPr>
      <w:r>
        <w:t>Politis &amp; Romano — the stationary block bootstrap (implemented via the arch library), the bootstrap of record.</w:t>
      </w:r>
    </w:p>
    <w:p>
      <w:pPr>
        <w:pStyle w:val="ListBullet"/>
      </w:pPr>
      <w:r>
        <w:t>Project 1 Factor Book Guide — authoritative construction, significance, deployment, and backtest methodology.</w:t>
      </w:r>
    </w:p>
    <w:p>
      <w:pPr>
        <w:pStyle w:val="Heading2"/>
      </w:pPr>
      <w:r>
        <w:t>10.3 How to reproduce</w:t>
      </w:r>
    </w:p>
    <w:p>
      <w:r>
        <w:t>The pipeline is deterministic and driven by scripts in scripts/ (uv-managed). The stages run in order:</w:t>
      </w:r>
    </w:p>
    <w:p>
      <w:pPr>
        <w:pStyle w:val="ListBullet"/>
      </w:pPr>
      <w:r>
        <w:rPr>
          <w:b/>
        </w:rPr>
        <w:t xml:space="preserve">make probe </w:t>
      </w:r>
      <w:r>
        <w:t>— live Artemis connectivity + coverage probe (scripts/probe_artemis.py).</w:t>
      </w:r>
    </w:p>
    <w:p>
      <w:pPr>
        <w:pStyle w:val="ListBullet"/>
      </w:pPr>
      <w:r>
        <w:rPr>
          <w:b/>
        </w:rPr>
        <w:t xml:space="preserve">make universe </w:t>
      </w:r>
      <w:r>
        <w:t>— survivorship-corrected universe panel (scripts/build_universe.py).</w:t>
      </w:r>
    </w:p>
    <w:p>
      <w:pPr>
        <w:pStyle w:val="ListBullet"/>
      </w:pPr>
      <w:r>
        <w:rPr>
          <w:b/>
        </w:rPr>
        <w:t xml:space="preserve">uv run python scripts/build_returns.py </w:t>
      </w:r>
      <w:r>
        <w:t>— holding returns (crash-carry).</w:t>
      </w:r>
    </w:p>
    <w:p>
      <w:pPr>
        <w:pStyle w:val="ListBullet"/>
      </w:pPr>
      <w:r>
        <w:rPr>
          <w:b/>
        </w:rPr>
        <w:t xml:space="preserve">uv run python scripts/build_factor_returns.py </w:t>
      </w:r>
      <w:r>
        <w:t>— the 21-variant momentum factor grid.</w:t>
      </w:r>
    </w:p>
    <w:p>
      <w:pPr>
        <w:pStyle w:val="ListBullet"/>
      </w:pPr>
      <w:r>
        <w:rPr>
          <w:b/>
        </w:rPr>
        <w:t xml:space="preserve">uv run python scripts/run_stage2.py </w:t>
      </w:r>
      <w:r>
        <w:t>— the Stage-2 significance battery → data/stats/significance.parquet.</w:t>
      </w:r>
    </w:p>
    <w:p>
      <w:pPr>
        <w:pStyle w:val="ListBullet"/>
      </w:pPr>
      <w:r>
        <w:rPr>
          <w:b/>
        </w:rPr>
        <w:t xml:space="preserve">uv run python scripts/run_backtest.py </w:t>
      </w:r>
      <w:r>
        <w:t>— the cost-aware, sealed-OOS backtest → data/backtest/.</w:t>
      </w:r>
    </w:p>
    <w:p>
      <w:pPr>
        <w:pStyle w:val="ListBullet"/>
      </w:pPr>
      <w:r>
        <w:rPr>
          <w:b/>
        </w:rPr>
        <w:t xml:space="preserve">uv run python scripts/build_report_figures.py </w:t>
      </w:r>
      <w:r>
        <w:t>— the five report figures → docs/report/figures/.</w:t>
      </w:r>
    </w:p>
    <w:p>
      <w:pPr>
        <w:pStyle w:val="ListBullet"/>
      </w:pPr>
      <w:r>
        <w:rPr>
          <w:b/>
        </w:rPr>
        <w:t xml:space="preserve">uv run python scripts/build_report.py </w:t>
      </w:r>
      <w:r>
        <w:t>— the deterministic research-report PDF.</w:t>
      </w:r>
    </w:p>
    <w:p>
      <w:pPr>
        <w:pStyle w:val="ListBullet"/>
      </w:pPr>
      <w:r>
        <w:rPr>
          <w:b/>
        </w:rPr>
        <w:t xml:space="preserve">uv run python scripts/build_writeup_docx.py </w:t>
      </w:r>
      <w:r>
        <w:t>— this findings write-up (.docx).</w:t>
      </w:r>
    </w:p>
    <w:p>
      <w:r>
        <w:rPr>
          <w:i/>
          <w:color w:val="555555"/>
          <w:sz w:val="18"/>
        </w:rPr>
        <w:t>End of write-up. All figures and statistics are reproduced verbatim from the committed source-of-truth artifacts; the verdict is NO-DEPLOY.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