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i-driven-claims-pricing-prediction"/>
    <w:p>
      <w:pPr>
        <w:pStyle w:val="Heading1"/>
      </w:pPr>
      <w:r>
        <w:t xml:space="preserve">AI-Driven Claims Pricing Prediction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pricing accuracy, scalability, and speed by leveraging AI to predict expected reimbursement at the claim level, while using vendor-based pricing as a short-term accelerator.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Current pricing capabilities are fragmented, manual, and difficult to scale.</w:t>
      </w:r>
    </w:p>
    <w:p>
      <w:pPr>
        <w:pStyle w:val="Compact"/>
        <w:numPr>
          <w:ilvl w:val="0"/>
          <w:numId w:val="1001"/>
        </w:numPr>
      </w:pPr>
      <w:r>
        <w:t xml:space="preserve">Pricing logic is complex and varies by payer, contract, and client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Existing rules-based approaches are rigid and expensive to maintain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Analysts spend significant time validating expected reimbursement manually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Limited ability to dynamically adapt to contract changes or payer behavior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Inconsistent pricing accuracy impacts recovery outcomes and client trust</w:t>
      </w:r>
    </w:p>
    <w:p>
      <w:pPr>
        <w:pStyle w:val="FirstParagraph"/>
      </w:pPr>
      <w:r>
        <w:t xml:space="preserve">At the same time, vendor solutions offer structured pricing models, but come with cost, rigidity, and limited flexibility across clients and edge cases.</w:t>
      </w:r>
    </w:p>
    <w:p>
      <w:r>
        <w:pict>
          <v:rect style="width:0;height:1.5pt" o:hralign="center" o:hrstd="t" o:hr="t"/>
        </w:pict>
      </w:r>
    </w:p>
    <w:bookmarkEnd w:id="21"/>
    <w:bookmarkStart w:id="22" w:name="current-approach-baseline"/>
    <w:p>
      <w:pPr>
        <w:pStyle w:val="Heading2"/>
      </w:pPr>
      <w:r>
        <w:t xml:space="preserve">Current Approach (Baseline)</w:t>
      </w:r>
    </w:p>
    <w:p>
      <w:pPr>
        <w:pStyle w:val="FirstParagraph"/>
      </w:pPr>
      <w:r>
        <w:t xml:space="preserve">We are actively working with a vendor to:</w:t>
      </w:r>
    </w:p>
    <w:p>
      <w:pPr>
        <w:pStyle w:val="Compact"/>
        <w:numPr>
          <w:ilvl w:val="0"/>
          <w:numId w:val="1002"/>
        </w:numPr>
      </w:pPr>
      <w:r>
        <w:t xml:space="preserve">Price top 5 payers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Across ~25 clients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Establish a reliable baseline of expected reimbursement</w:t>
      </w:r>
    </w:p>
    <w:p>
      <w:pPr>
        <w:pStyle w:val="FirstParagraph"/>
      </w:pPr>
      <w:r>
        <w:t xml:space="preserve">This effort provides:</w:t>
      </w:r>
      <w:r>
        <w:t xml:space="preserve"> </w:t>
      </w:r>
      <w:r>
        <w:t xml:space="preserve">- High-confidence labeled data</w:t>
      </w:r>
      <w:r>
        <w:br/>
      </w:r>
      <w:r>
        <w:t xml:space="preserve">- Faster short-term coverage</w:t>
      </w:r>
      <w:r>
        <w:br/>
      </w:r>
      <w:r>
        <w:t xml:space="preserve">- A foundation for validation and benchmarking</w:t>
      </w:r>
    </w:p>
    <w:p>
      <w:pPr>
        <w:pStyle w:val="BodyText"/>
      </w:pPr>
      <w:r>
        <w:t xml:space="preserve">However, this approach does not scale efficiently across all payers, clients, and evolving contract structures.</w:t>
      </w:r>
    </w:p>
    <w:p>
      <w:r>
        <w:pict>
          <v:rect style="width:0;height:1.5pt" o:hralign="center" o:hrstd="t" o:hr="t"/>
        </w:pict>
      </w:r>
    </w:p>
    <w:bookmarkEnd w:id="22"/>
    <w:bookmarkStart w:id="23" w:name="X7f5d78c4cd68e749de01fc41ccec0d27133526e"/>
    <w:p>
      <w:pPr>
        <w:pStyle w:val="Heading2"/>
      </w:pPr>
      <w:r>
        <w:t xml:space="preserve">Proposed Solution: AI-Powered Pricing Prediction</w:t>
      </w:r>
    </w:p>
    <w:p>
      <w:pPr>
        <w:pStyle w:val="FirstParagraph"/>
      </w:pPr>
      <w:r>
        <w:t xml:space="preserve">Develop a machine learning model that predicts expected reimbursement using historical claims, contract features, and payer behavior patterns.</w:t>
      </w:r>
    </w:p>
    <w:p>
      <w:pPr>
        <w:pStyle w:val="BodyText"/>
      </w:pPr>
      <w:r>
        <w:t xml:space="preserve">Core capabilities:</w:t>
      </w:r>
      <w:r>
        <w:t xml:space="preserve"> </w:t>
      </w:r>
      <w:r>
        <w:t xml:space="preserve">- Predict expected allowed amount at claim or line level</w:t>
      </w:r>
      <w:r>
        <w:br/>
      </w:r>
      <w:r>
        <w:t xml:space="preserve">- Learn from historical adjudication patterns</w:t>
      </w:r>
      <w:r>
        <w:br/>
      </w:r>
      <w:r>
        <w:t xml:space="preserve">- Continuously improve as new data is ingested</w:t>
      </w:r>
      <w:r>
        <w:br/>
      </w:r>
      <w:r>
        <w:t xml:space="preserve">- Generalize across payers, clients, and contract types</w:t>
      </w:r>
      <w:r>
        <w:br/>
      </w:r>
      <w:r>
        <w:t xml:space="preserve">- Support probabilistic outputs including confidence scoring and ranges</w:t>
      </w:r>
    </w:p>
    <w:p>
      <w:r>
        <w:pict>
          <v:rect style="width:0;height:1.5pt" o:hralign="center" o:hrstd="t" o:hr="t"/>
        </w:pict>
      </w:r>
    </w:p>
    <w:bookmarkEnd w:id="23"/>
    <w:bookmarkStart w:id="24" w:name="Xd15034e5035bd0d2ef4cec1d4f4bd248ed4759c"/>
    <w:p>
      <w:pPr>
        <w:pStyle w:val="Heading2"/>
      </w:pPr>
      <w:r>
        <w:t xml:space="preserve">UI/UX Enablement: Real vs Estimated Pricing</w:t>
      </w:r>
    </w:p>
    <w:p>
      <w:pPr>
        <w:pStyle w:val="FirstParagraph"/>
      </w:pPr>
      <w:r>
        <w:t xml:space="preserve">To support both accuracy and scalability, the platform will surface both actual pricing and AI-predicted pricing depending on data availability.</w:t>
      </w:r>
    </w:p>
    <w:p>
      <w:pPr>
        <w:pStyle w:val="BodyText"/>
      </w:pPr>
      <w:r>
        <w:t xml:space="preserve">Approach:</w:t>
      </w:r>
      <w:r>
        <w:t xml:space="preserve"> </w:t>
      </w:r>
      <w:r>
        <w:t xml:space="preserve">- When real pricing is available from vendor or confirmed adjudication, display it as the primary value</w:t>
      </w:r>
      <w:r>
        <w:br/>
      </w:r>
      <w:r>
        <w:t xml:space="preserve">- When real pricing is not available, display the AI-estimated price</w:t>
      </w:r>
      <w:r>
        <w:br/>
      </w:r>
      <w:r>
        <w:t xml:space="preserve">- Clearly distinguish between the two using labeling such as Actual and Estimated and include confidence indicators where applicable</w:t>
      </w:r>
    </w:p>
    <w:p>
      <w:pPr>
        <w:pStyle w:val="BodyText"/>
      </w:pPr>
      <w:r>
        <w:t xml:space="preserve">Key benefits:</w:t>
      </w:r>
      <w:r>
        <w:t xml:space="preserve"> </w:t>
      </w:r>
      <w:r>
        <w:t xml:space="preserve">- Ensures full pricing coverage across all claims, even when real pricing is unavailable</w:t>
      </w:r>
      <w:r>
        <w:br/>
      </w:r>
      <w:r>
        <w:t xml:space="preserve">- Maintains transparency and trust with users by clearly indicating data source</w:t>
      </w:r>
      <w:r>
        <w:br/>
      </w:r>
      <w:r>
        <w:t xml:space="preserve">- Enables analysts to take action on claims that would otherwise be unpriced</w:t>
      </w:r>
      <w:r>
        <w:br/>
      </w:r>
      <w:r>
        <w:t xml:space="preserve">- Creates a seamless experience without blocking workflows due to missing pricing data</w:t>
      </w:r>
    </w:p>
    <w:p>
      <w:pPr>
        <w:pStyle w:val="BodyText"/>
      </w:pPr>
      <w:r>
        <w:t xml:space="preserve">Future enhancements:</w:t>
      </w:r>
      <w:r>
        <w:t xml:space="preserve"> </w:t>
      </w:r>
      <w:r>
        <w:t xml:space="preserve">- Introduce confidence scoring and ranges for estimated pricing</w:t>
      </w:r>
      <w:r>
        <w:br/>
      </w:r>
      <w:r>
        <w:t xml:space="preserve">- Allow users to filter or prioritize claims based on estimated vs actual pricing</w:t>
      </w:r>
      <w:r>
        <w:br/>
      </w:r>
      <w:r>
        <w:t xml:space="preserve">- Continuously improve estimated pricing accuracy using feedback loops from actual outcomes</w:t>
      </w:r>
    </w:p>
    <w:p>
      <w:r>
        <w:pict>
          <v:rect style="width:0;height:1.5pt" o:hralign="center" o:hrstd="t" o:hr="t"/>
        </w:pict>
      </w:r>
    </w:p>
    <w:bookmarkEnd w:id="24"/>
    <w:bookmarkStart w:id="25" w:name="why-ai-vs-rules-or-vendor-alone"/>
    <w:p>
      <w:pPr>
        <w:pStyle w:val="Heading2"/>
      </w:pPr>
      <w:r>
        <w:t xml:space="preserve">Why AI vs Rules or Vendor Alone</w:t>
      </w:r>
    </w:p>
    <w:p>
      <w:pPr>
        <w:pStyle w:val="FirstParagraph"/>
      </w:pPr>
      <w:r>
        <w:t xml:space="preserve">Rules-Based:</w:t>
      </w:r>
      <w:r>
        <w:t xml:space="preserve"> </w:t>
      </w:r>
      <w:r>
        <w:t xml:space="preserve">- High maintenance burden</w:t>
      </w:r>
      <w:r>
        <w:br/>
      </w:r>
      <w:r>
        <w:t xml:space="preserve">- Difficult to scale across payers and clients</w:t>
      </w:r>
      <w:r>
        <w:br/>
      </w:r>
      <w:r>
        <w:t xml:space="preserve">- Breaks with contract variability</w:t>
      </w:r>
    </w:p>
    <w:p>
      <w:pPr>
        <w:pStyle w:val="BodyText"/>
      </w:pPr>
      <w:r>
        <w:t xml:space="preserve">Vendor-Based:</w:t>
      </w:r>
      <w:r>
        <w:t xml:space="preserve"> </w:t>
      </w:r>
      <w:r>
        <w:t xml:space="preserve">- Strong baseline but expensive</w:t>
      </w:r>
      <w:r>
        <w:br/>
      </w:r>
      <w:r>
        <w:t xml:space="preserve">- Limited flexibility and customization</w:t>
      </w:r>
      <w:r>
        <w:br/>
      </w:r>
      <w:r>
        <w:t xml:space="preserve">- Slower to adapt to nuanced or evolving scenarios</w:t>
      </w:r>
    </w:p>
    <w:p>
      <w:pPr>
        <w:pStyle w:val="BodyText"/>
      </w:pPr>
      <w:r>
        <w:t xml:space="preserve">AI-Based:</w:t>
      </w:r>
      <w:r>
        <w:t xml:space="preserve"> </w:t>
      </w:r>
      <w:r>
        <w:t xml:space="preserve">- Scales across all clients and payers</w:t>
      </w:r>
      <w:r>
        <w:br/>
      </w:r>
      <w:r>
        <w:t xml:space="preserve">- Learns patterns that are difficult to encode manually</w:t>
      </w:r>
      <w:r>
        <w:br/>
      </w:r>
      <w:r>
        <w:t xml:space="preserve">- Reduces dependency on manual rule creation</w:t>
      </w:r>
      <w:r>
        <w:br/>
      </w:r>
      <w:r>
        <w:t xml:space="preserve">- Improves over time with more data</w:t>
      </w:r>
    </w:p>
    <w:p>
      <w:r>
        <w:pict>
          <v:rect style="width:0;height:1.5pt" o:hralign="center" o:hrstd="t" o:hr="t"/>
        </w:pict>
      </w:r>
    </w:p>
    <w:bookmarkEnd w:id="25"/>
    <w:bookmarkStart w:id="26" w:name="expected-business-impact"/>
    <w:p>
      <w:pPr>
        <w:pStyle w:val="Heading2"/>
      </w:pPr>
      <w:r>
        <w:t xml:space="preserve">Expected Business Impact</w:t>
      </w:r>
    </w:p>
    <w:p>
      <w:pPr>
        <w:pStyle w:val="FirstParagraph"/>
      </w:pPr>
      <w:r>
        <w:t xml:space="preserve">Revenue uplift:</w:t>
      </w:r>
      <w:r>
        <w:t xml:space="preserve"> </w:t>
      </w:r>
      <w:r>
        <w:t xml:space="preserve">- More accurate identification of underpaid claims</w:t>
      </w:r>
      <w:r>
        <w:br/>
      </w:r>
      <w:r>
        <w:t xml:space="preserve">- Increased recovery yield per claim</w:t>
      </w:r>
      <w:r>
        <w:br/>
      </w:r>
      <w:r>
        <w:t xml:space="preserve">- Ability to expand pricing coverage across more inventory</w:t>
      </w:r>
    </w:p>
    <w:p>
      <w:pPr>
        <w:pStyle w:val="BodyText"/>
      </w:pPr>
      <w:r>
        <w:t xml:space="preserve">Operational efficiency:</w:t>
      </w:r>
      <w:r>
        <w:t xml:space="preserve"> </w:t>
      </w:r>
      <w:r>
        <w:t xml:space="preserve">- Reduced manual pricing effort for analysts</w:t>
      </w:r>
      <w:r>
        <w:br/>
      </w:r>
      <w:r>
        <w:t xml:space="preserve">- Faster claim triage and prioritization</w:t>
      </w:r>
      <w:r>
        <w:br/>
      </w:r>
      <w:r>
        <w:t xml:space="preserve">- Enables automation and next best claim workflows</w:t>
      </w:r>
    </w:p>
    <w:p>
      <w:pPr>
        <w:pStyle w:val="BodyText"/>
      </w:pPr>
      <w:r>
        <w:t xml:space="preserve">Scalability:</w:t>
      </w:r>
      <w:r>
        <w:t xml:space="preserve"> </w:t>
      </w:r>
      <w:r>
        <w:t xml:space="preserve">- Expand beyond top 5 payers without linear cost increase</w:t>
      </w:r>
      <w:r>
        <w:br/>
      </w:r>
      <w:r>
        <w:t xml:space="preserve">- Support new clients without rebuilding pricing logic</w:t>
      </w:r>
      <w:r>
        <w:br/>
      </w:r>
      <w:r>
        <w:t xml:space="preserve">- Reduce dependency on external vendors over time</w:t>
      </w:r>
    </w:p>
    <w:p>
      <w:pPr>
        <w:pStyle w:val="BodyText"/>
      </w:pPr>
      <w:r>
        <w:t xml:space="preserve">Strategic differentiation:</w:t>
      </w:r>
      <w:r>
        <w:t xml:space="preserve"> </w:t>
      </w:r>
      <w:r>
        <w:t xml:space="preserve">- Positions platform as an intelligent revenue optimization engine</w:t>
      </w:r>
      <w:r>
        <w:br/>
      </w:r>
      <w:r>
        <w:t xml:space="preserve">- Enables advanced capabilities like predictive prioritization and automation</w:t>
      </w:r>
    </w:p>
    <w:p>
      <w:r>
        <w:pict>
          <v:rect style="width:0;height:1.5pt" o:hralign="center" o:hrstd="t" o:hr="t"/>
        </w:pict>
      </w:r>
    </w:p>
    <w:bookmarkEnd w:id="26"/>
    <w:bookmarkStart w:id="27" w:name="financial-framing"/>
    <w:p>
      <w:pPr>
        <w:pStyle w:val="Heading2"/>
      </w:pPr>
      <w:r>
        <w:t xml:space="preserve">Financial Framing</w:t>
      </w:r>
    </w:p>
    <w:p>
      <w:pPr>
        <w:pStyle w:val="Compact"/>
        <w:numPr>
          <w:ilvl w:val="0"/>
          <w:numId w:val="1003"/>
        </w:numPr>
      </w:pPr>
      <w:r>
        <w:t xml:space="preserve">Current recoveries tied to priced claims represent a significant portion of revenue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 meaningful percentage of claims remain unpriced today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Even modest improvements in pricing accuracy and coverage can drive material impact</w:t>
      </w:r>
    </w:p>
    <w:p>
      <w:pPr>
        <w:pStyle w:val="FirstParagraph"/>
      </w:pPr>
      <w:r>
        <w:t xml:space="preserve">Illustrative impact:</w:t>
      </w:r>
      <w:r>
        <w:t xml:space="preserve"> </w:t>
      </w:r>
      <w:r>
        <w:t xml:space="preserve">- Expanding pricing coverage and improving accuracy by 5 to 10 percent</w:t>
      </w:r>
      <w:r>
        <w:br/>
      </w:r>
      <w:r>
        <w:t xml:space="preserve">- Across existing inventory</w:t>
      </w:r>
      <w:r>
        <w:br/>
      </w:r>
      <w:r>
        <w:t xml:space="preserve">- Can unlock multi-million dollar incremental recovery annually</w:t>
      </w:r>
    </w:p>
    <w:p>
      <w:r>
        <w:pict>
          <v:rect style="width:0;height:1.5pt" o:hralign="center" o:hrstd="t" o:hr="t"/>
        </w:pict>
      </w:r>
    </w:p>
    <w:bookmarkEnd w:id="27"/>
    <w:bookmarkStart w:id="28" w:name="phased-approach"/>
    <w:p>
      <w:pPr>
        <w:pStyle w:val="Heading2"/>
      </w:pPr>
      <w:r>
        <w:t xml:space="preserve">Phased Approach</w:t>
      </w:r>
    </w:p>
    <w:p>
      <w:pPr>
        <w:pStyle w:val="FirstParagraph"/>
      </w:pPr>
      <w:r>
        <w:t xml:space="preserve">Phase 1: Vendor baseline and data foundation</w:t>
      </w:r>
      <w:r>
        <w:t xml:space="preserve"> </w:t>
      </w:r>
      <w:r>
        <w:t xml:space="preserve">- Price top 5 payers across 25 clients</w:t>
      </w:r>
      <w:r>
        <w:br/>
      </w:r>
      <w:r>
        <w:t xml:space="preserve">- Validate accuracy and establish ground truth</w:t>
      </w:r>
      <w:r>
        <w:br/>
      </w:r>
      <w:r>
        <w:t xml:space="preserve">- Structure data for modeling in Snowflake and feature pipelines</w:t>
      </w:r>
    </w:p>
    <w:p>
      <w:pPr>
        <w:pStyle w:val="BodyText"/>
      </w:pPr>
      <w:r>
        <w:t xml:space="preserve">Phase 2: AI model development</w:t>
      </w:r>
      <w:r>
        <w:t xml:space="preserve"> </w:t>
      </w:r>
      <w:r>
        <w:t xml:space="preserve">- Train models on historical claims and vendor-labeled data</w:t>
      </w:r>
      <w:r>
        <w:br/>
      </w:r>
      <w:r>
        <w:t xml:space="preserve">- Build feature set from rules engine, contract attributes, and claim characteristics</w:t>
      </w:r>
      <w:r>
        <w:br/>
      </w:r>
      <w:r>
        <w:t xml:space="preserve">- Evaluate against vendor outputs and actual reimbursements</w:t>
      </w:r>
    </w:p>
    <w:p>
      <w:pPr>
        <w:pStyle w:val="BodyText"/>
      </w:pPr>
      <w:r>
        <w:t xml:space="preserve">Phase 3: Hybrid deployment</w:t>
      </w:r>
      <w:r>
        <w:t xml:space="preserve"> </w:t>
      </w:r>
      <w:r>
        <w:t xml:space="preserve">- Use vendor where confidence is low or coverage is limited</w:t>
      </w:r>
      <w:r>
        <w:br/>
      </w:r>
      <w:r>
        <w:t xml:space="preserve">- Use AI predictions where confidence is high</w:t>
      </w:r>
      <w:r>
        <w:br/>
      </w:r>
      <w:r>
        <w:t xml:space="preserve">- Introduce confidence scoring and fallback logic</w:t>
      </w:r>
    </w:p>
    <w:p>
      <w:pPr>
        <w:pStyle w:val="BodyText"/>
      </w:pPr>
      <w:r>
        <w:t xml:space="preserve">Phase 4: Scale and optimization</w:t>
      </w:r>
      <w:r>
        <w:t xml:space="preserve"> </w:t>
      </w:r>
      <w:r>
        <w:t xml:space="preserve">- Expand across all payers and clients</w:t>
      </w:r>
      <w:r>
        <w:br/>
      </w:r>
      <w:r>
        <w:t xml:space="preserve">- Continuously retrain models</w:t>
      </w:r>
      <w:r>
        <w:br/>
      </w:r>
      <w:r>
        <w:t xml:space="preserve">- Integrate into prioritization and automation workflows</w:t>
      </w:r>
    </w:p>
    <w:p>
      <w:r>
        <w:pict>
          <v:rect style="width:0;height:1.5pt" o:hralign="center" o:hrstd="t" o:hr="t"/>
        </w:pict>
      </w:r>
    </w:p>
    <w:bookmarkEnd w:id="28"/>
    <w:bookmarkStart w:id="29" w:name="key-dependencies"/>
    <w:p>
      <w:pPr>
        <w:pStyle w:val="Heading2"/>
      </w:pPr>
      <w:r>
        <w:t xml:space="preserve">Key Dependencies</w:t>
      </w:r>
    </w:p>
    <w:p>
      <w:pPr>
        <w:pStyle w:val="Compact"/>
        <w:numPr>
          <w:ilvl w:val="0"/>
          <w:numId w:val="1004"/>
        </w:numPr>
      </w:pPr>
      <w:r>
        <w:t xml:space="preserve">Access to clean historical claims and reimbursement data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Structured contract features and pricing logic inputs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Snowflake-based execution and feature engineering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Alignment with rules engine for feature generation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Data science support for model development and evaluation</w:t>
      </w:r>
    </w:p>
    <w:p>
      <w:r>
        <w:pict>
          <v:rect style="width:0;height:1.5pt" o:hralign="center" o:hrstd="t" o:hr="t"/>
        </w:pict>
      </w:r>
    </w:p>
    <w:bookmarkEnd w:id="29"/>
    <w:bookmarkStart w:id="30" w:name="risks-and-mitigation"/>
    <w:p>
      <w:pPr>
        <w:pStyle w:val="Heading2"/>
      </w:pPr>
      <w:r>
        <w:t xml:space="preserve">Risks and Mitigation</w:t>
      </w:r>
    </w:p>
    <w:p>
      <w:pPr>
        <w:pStyle w:val="FirstParagraph"/>
      </w:pPr>
      <w:r>
        <w:t xml:space="preserve">Data quality and variability:</w:t>
      </w:r>
      <w:r>
        <w:t xml:space="preserve"> </w:t>
      </w:r>
      <w:r>
        <w:t xml:space="preserve">- Start with top payers and high-confidence datasets</w:t>
      </w:r>
    </w:p>
    <w:p>
      <w:pPr>
        <w:pStyle w:val="BodyText"/>
      </w:pPr>
      <w:r>
        <w:t xml:space="preserve">Model trust and adoption:</w:t>
      </w:r>
      <w:r>
        <w:t xml:space="preserve"> </w:t>
      </w:r>
      <w:r>
        <w:t xml:space="preserve">- Provide side-by-side comparisons with vendor outputs</w:t>
      </w:r>
    </w:p>
    <w:p>
      <w:pPr>
        <w:pStyle w:val="BodyText"/>
      </w:pPr>
      <w:r>
        <w:t xml:space="preserve">Operational integration:</w:t>
      </w:r>
      <w:r>
        <w:t xml:space="preserve"> </w:t>
      </w:r>
      <w:r>
        <w:t xml:space="preserve">- Phased rollout with human-in-the-loop validation</w:t>
      </w:r>
    </w:p>
    <w:p>
      <w:pPr>
        <w:pStyle w:val="BodyText"/>
      </w:pPr>
      <w:r>
        <w:t xml:space="preserve">Vendor lock-in:</w:t>
      </w:r>
      <w:r>
        <w:t xml:space="preserve"> </w:t>
      </w:r>
      <w:r>
        <w:t xml:space="preserve">- Position vendor as a short-term accelerator rather than long-term dependency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Continue vendor-based pricing for immediate coverage and data foundation, while investing in AI-driven pricing prediction as the long-term scalable solution.</w:t>
      </w:r>
    </w:p>
    <w:p>
      <w:pPr>
        <w:pStyle w:val="BodyText"/>
      </w:pPr>
      <w:r>
        <w:t xml:space="preserve">This dual-track approach balances speed, accuracy, and strategic control, and positions the organization to unlock meaningful revenue and operational efficiency at scale.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2026-03-23T20:47:43Z</dcterms:created>
  <dcterms:modified xsi:type="dcterms:W3CDTF">2026-03-23T20:47:43Z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