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ROI Model Template</w:t>
      </w:r>
    </w:p>
    <w:p>
      <w:r>
        <w:br/>
        <w:t>Current State Assumptions:</w:t>
        <w:br/>
        <w:t>• Current volume</w:t>
        <w:br/>
        <w:t>• Current time per item</w:t>
        <w:br/>
        <w:t>• Current cost per hour</w:t>
        <w:br/>
        <w:t>• Current revenue per successful item</w:t>
        <w:br/>
        <w:br/>
        <w:t>Future State Assumptions:</w:t>
        <w:br/>
        <w:t>• Expected efficiency gains</w:t>
        <w:br/>
        <w:t>• Revenue lift</w:t>
        <w:br/>
        <w:t>• Reduced cycle time</w:t>
        <w:br/>
        <w:t>• Operational savings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