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ind w:left="0" w:right="0" w:firstLine="0"/>
        <w:rPr>
          <w:rFonts w:ascii="Arial" w:hAnsi="Arial" w:eastAsia="Arial" w:cs="Arial"/>
          <w:color w:val="000000"/>
          <w:sz w:val="22"/>
          <w:szCs w:val="22"/>
        </w:rPr>
      </w:pPr>
    </w:p>
    <w:tbl>
      <w:tblPr>
        <w:tblStyle w:val="13"/>
        <w:tblW w:w="9698" w:type="dxa"/>
        <w:tblInd w:w="-332" w:type="dxa"/>
        <w:tblLayout w:type="fixed"/>
        <w:tblCellMar>
          <w:top w:w="0" w:type="dxa"/>
          <w:left w:w="64" w:type="dxa"/>
          <w:bottom w:w="0" w:type="dxa"/>
          <w:right w:w="115" w:type="dxa"/>
        </w:tblCellMar>
      </w:tblPr>
      <w:tblGrid>
        <w:gridCol w:w="1349"/>
        <w:gridCol w:w="630"/>
        <w:gridCol w:w="1441"/>
        <w:gridCol w:w="629"/>
        <w:gridCol w:w="1532"/>
        <w:gridCol w:w="1889"/>
        <w:gridCol w:w="1261"/>
        <w:gridCol w:w="967"/>
      </w:tblGrid>
      <w:tr>
        <w:tblPrEx>
          <w:tblCellMar>
            <w:top w:w="0" w:type="dxa"/>
            <w:left w:w="64" w:type="dxa"/>
            <w:bottom w:w="0" w:type="dxa"/>
            <w:right w:w="115" w:type="dxa"/>
          </w:tblCellMar>
        </w:tblPrEx>
        <w:trPr>
          <w:trHeight w:val="1630" w:hRule="atLeast"/>
        </w:trPr>
        <w:tc>
          <w:tcPr>
            <w:tcW w:w="1979" w:type="dxa"/>
            <w:gridSpan w:val="2"/>
            <w:tcBorders>
              <w:top w:val="single" w:color="000000" w:sz="4" w:space="0"/>
              <w:left w:val="single" w:color="000000" w:sz="4" w:space="0"/>
              <w:bottom w:val="single" w:color="000000" w:sz="4" w:space="0"/>
              <w:right w:val="single" w:color="000000" w:sz="4" w:space="0"/>
            </w:tcBorders>
            <w:vAlign w:val="center"/>
          </w:tcPr>
          <w:p>
            <w:pPr>
              <w:spacing w:line="276" w:lineRule="auto"/>
              <w:ind w:left="0" w:right="0" w:firstLine="0"/>
              <w:jc w:val="center"/>
            </w:pPr>
            <w:r>
              <w:rPr>
                <w:b/>
              </w:rPr>
              <w:t xml:space="preserve">LEARNING MODULE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40" w:lineRule="auto"/>
              <w:ind w:left="1736" w:right="0" w:firstLine="0"/>
            </w:pPr>
            <w:r>
              <w:rPr>
                <w:b/>
                <w:color w:val="00FFFF"/>
                <w:sz w:val="6"/>
                <w:szCs w:val="6"/>
              </w:rPr>
              <w:t xml:space="preserve"> </w:t>
            </w:r>
          </w:p>
          <w:p>
            <w:pPr>
              <w:spacing w:after="33" w:line="240" w:lineRule="auto"/>
              <w:ind w:left="1376" w:right="0" w:firstLine="0"/>
            </w:pPr>
            <w:r>
              <w:rPr>
                <w:b/>
                <w:color w:val="5F5F5F"/>
                <w:sz w:val="18"/>
                <w:szCs w:val="18"/>
              </w:rPr>
              <w:t xml:space="preserve"> </w:t>
            </w:r>
          </w:p>
          <w:p>
            <w:pPr>
              <w:spacing w:after="84" w:line="240" w:lineRule="auto"/>
              <w:ind w:left="1376" w:right="0" w:firstLine="0"/>
            </w:pPr>
            <w:r>
              <w:rPr>
                <w:b/>
                <w:color w:val="5F5F5F"/>
                <w:sz w:val="18"/>
                <w:szCs w:val="18"/>
              </w:rPr>
              <w:t>PAMANTASAN NG LUNGSOD NG MUNTINLUPA</w:t>
            </w:r>
            <w:r>
              <w:rPr>
                <w:b/>
                <w:color w:val="5F5F5F"/>
                <w:sz w:val="19"/>
                <w:szCs w:val="19"/>
              </w:rPr>
              <w:t xml:space="preserve"> </w:t>
            </w:r>
          </w:p>
          <w:p>
            <w:pPr>
              <w:spacing w:after="44" w:line="240" w:lineRule="auto"/>
              <w:ind w:left="1376" w:right="0" w:firstLine="0"/>
            </w:pPr>
            <w:r>
              <w:rPr>
                <w:rFonts w:ascii="Calibri" w:hAnsi="Calibri" w:eastAsia="Calibri" w:cs="Calibri"/>
                <w:color w:val="5F5F5F"/>
                <w:sz w:val="28"/>
                <w:szCs w:val="28"/>
              </w:rPr>
              <w:t xml:space="preserve">COLLEGE OF INFORMATION TECHNOLOGY AND </w:t>
            </w:r>
          </w:p>
          <w:p>
            <w:pPr>
              <w:spacing w:line="240" w:lineRule="auto"/>
              <w:ind w:left="1376" w:right="0" w:firstLine="0"/>
            </w:pPr>
            <w:r>
              <w:rPr>
                <w:rFonts w:ascii="Calibri" w:hAnsi="Calibri" w:eastAsia="Calibri" w:cs="Calibri"/>
                <w:color w:val="5F5F5F"/>
                <w:sz w:val="28"/>
                <w:szCs w:val="28"/>
              </w:rPr>
              <w:t xml:space="preserve">COMPUTER STUDIES  </w:t>
            </w:r>
            <w:r>
              <w:rPr>
                <w:rFonts w:ascii="Calibri" w:hAnsi="Calibri" w:eastAsia="Calibri" w:cs="Calibri"/>
                <w:color w:val="5F5F5F"/>
                <w:sz w:val="26"/>
                <w:szCs w:val="26"/>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-401320</wp:posOffset>
                  </wp:positionV>
                  <wp:extent cx="835025" cy="60833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835152" cy="608076"/>
                          </a:xfrm>
                          <a:prstGeom prst="rect">
                            <a:avLst/>
                          </a:prstGeom>
                        </pic:spPr>
                      </pic:pic>
                    </a:graphicData>
                  </a:graphic>
                </wp:anchor>
              </w:drawing>
            </w:r>
          </w:p>
          <w:p>
            <w:pPr>
              <w:spacing w:after="30" w:line="240" w:lineRule="auto"/>
              <w:ind w:left="1376" w:right="0" w:firstLine="0"/>
            </w:pPr>
            <w:r>
              <w:rPr>
                <w:color w:val="5F5F5F"/>
                <w:sz w:val="18"/>
                <w:szCs w:val="18"/>
              </w:rPr>
              <w:t xml:space="preserve"> </w:t>
            </w:r>
          </w:p>
          <w:p>
            <w:pPr>
              <w:spacing w:line="276" w:lineRule="auto"/>
              <w:ind w:left="1376" w:right="0" w:firstLine="0"/>
            </w:pPr>
            <w:r>
              <w:rPr>
                <w:color w:val="5F5F5F"/>
                <w:sz w:val="18"/>
                <w:szCs w:val="18"/>
              </w:rPr>
              <w:t xml:space="preserve">University Road, Poblacion, Muntinlupa City </w:t>
            </w:r>
          </w:p>
        </w:tc>
      </w:tr>
      <w:tr>
        <w:tblPrEx>
          <w:tblCellMar>
            <w:top w:w="0" w:type="dxa"/>
            <w:left w:w="64" w:type="dxa"/>
            <w:bottom w:w="0" w:type="dxa"/>
            <w:right w:w="115" w:type="dxa"/>
          </w:tblCellMar>
        </w:tblPrEx>
        <w:trPr>
          <w:trHeight w:val="470" w:hRule="atLeast"/>
        </w:trPr>
        <w:tc>
          <w:tcPr>
            <w:tcW w:w="1979" w:type="dxa"/>
            <w:gridSpan w:val="2"/>
            <w:tcBorders>
              <w:top w:val="single" w:color="000000" w:sz="4" w:space="0"/>
              <w:left w:val="single" w:color="000000" w:sz="4" w:space="0"/>
              <w:bottom w:val="single" w:color="000000" w:sz="4" w:space="0"/>
              <w:right w:val="single" w:color="000000" w:sz="4" w:space="0"/>
            </w:tcBorders>
          </w:tcPr>
          <w:p>
            <w:pPr>
              <w:spacing w:after="43" w:line="240" w:lineRule="auto"/>
              <w:ind w:left="0" w:right="0" w:firstLine="0"/>
              <w:jc w:val="center"/>
            </w:pPr>
            <w:r>
              <w:rPr>
                <w:b/>
                <w:i/>
                <w:color w:val="0000FF"/>
                <w:sz w:val="16"/>
                <w:szCs w:val="16"/>
              </w:rPr>
              <w:t xml:space="preserve"> </w:t>
            </w:r>
          </w:p>
          <w:p>
            <w:pPr>
              <w:spacing w:line="276" w:lineRule="auto"/>
              <w:ind w:left="159" w:right="0" w:firstLine="0"/>
            </w:pPr>
            <w:r>
              <w:rPr>
                <w:b/>
                <w:i/>
                <w:color w:val="0000FF"/>
              </w:rPr>
              <w:t>QD/CITCS/0__</w:t>
            </w:r>
            <w:r>
              <w:t xml:space="preserve"> </w:t>
            </w:r>
          </w:p>
        </w:tc>
        <w:tc>
          <w:tcPr>
            <w:tcW w:w="7719" w:type="dxa"/>
            <w:gridSpan w:val="6"/>
            <w:tcBorders>
              <w:top w:val="single" w:color="000000" w:sz="4" w:space="0"/>
              <w:left w:val="single" w:color="000000" w:sz="4" w:space="0"/>
              <w:bottom w:val="single" w:color="000000" w:sz="4" w:space="0"/>
              <w:right w:val="single" w:color="000000" w:sz="4" w:space="0"/>
            </w:tcBorders>
          </w:tcPr>
          <w:p>
            <w:pPr>
              <w:spacing w:line="276" w:lineRule="auto"/>
              <w:ind w:left="44" w:right="0" w:firstLine="0"/>
            </w:pPr>
            <w:r>
              <w:rPr>
                <w:b/>
              </w:rPr>
              <w:t xml:space="preserve">Course Title: Systems Analysis and Design </w:t>
            </w:r>
          </w:p>
        </w:tc>
      </w:tr>
      <w:tr>
        <w:tblPrEx>
          <w:tblCellMar>
            <w:top w:w="0" w:type="dxa"/>
            <w:left w:w="64" w:type="dxa"/>
            <w:bottom w:w="0" w:type="dxa"/>
            <w:right w:w="115" w:type="dxa"/>
          </w:tblCellMar>
        </w:tblPrEx>
        <w:trPr>
          <w:trHeight w:val="425" w:hRule="atLeast"/>
        </w:trPr>
        <w:tc>
          <w:tcPr>
            <w:tcW w:w="134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Issue No.</w:t>
            </w:r>
            <w:r>
              <w:rPr>
                <w:sz w:val="20"/>
                <w:szCs w:val="20"/>
              </w:rPr>
              <w:t xml:space="preserve"> </w:t>
            </w:r>
          </w:p>
        </w:tc>
        <w:tc>
          <w:tcPr>
            <w:tcW w:w="630"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44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Revision No.</w:t>
            </w:r>
            <w:r>
              <w:rPr>
                <w:sz w:val="20"/>
                <w:szCs w:val="20"/>
              </w:rPr>
              <w:t xml:space="preserve"> </w:t>
            </w:r>
          </w:p>
        </w:tc>
        <w:tc>
          <w:tcPr>
            <w:tcW w:w="62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sz w:val="20"/>
                <w:szCs w:val="20"/>
              </w:rPr>
              <w:t xml:space="preserve">0 </w:t>
            </w:r>
          </w:p>
        </w:tc>
        <w:tc>
          <w:tcPr>
            <w:tcW w:w="1532"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60" w:right="0" w:firstLine="0"/>
            </w:pPr>
            <w:r>
              <w:rPr>
                <w:b/>
                <w:i/>
                <w:color w:val="0000FF"/>
                <w:sz w:val="20"/>
                <w:szCs w:val="20"/>
              </w:rPr>
              <w:t>Effectivity Date</w:t>
            </w:r>
            <w:r>
              <w:rPr>
                <w:sz w:val="20"/>
                <w:szCs w:val="20"/>
              </w:rPr>
              <w:t xml:space="preserve"> </w:t>
            </w:r>
          </w:p>
        </w:tc>
        <w:tc>
          <w:tcPr>
            <w:tcW w:w="1889"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101" w:right="0" w:firstLine="0"/>
            </w:pPr>
            <w:r>
              <w:rPr>
                <w:sz w:val="20"/>
                <w:szCs w:val="20"/>
              </w:rPr>
              <w:t xml:space="preserve">07 September 2020 </w:t>
            </w:r>
          </w:p>
        </w:tc>
        <w:tc>
          <w:tcPr>
            <w:tcW w:w="1261"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b/>
                <w:i/>
                <w:color w:val="0000FF"/>
                <w:sz w:val="20"/>
                <w:szCs w:val="20"/>
              </w:rPr>
              <w:t>Page No.</w:t>
            </w:r>
            <w:r>
              <w:rPr>
                <w:sz w:val="20"/>
                <w:szCs w:val="20"/>
              </w:rPr>
              <w:t xml:space="preserve"> </w:t>
            </w:r>
          </w:p>
        </w:tc>
        <w:tc>
          <w:tcPr>
            <w:tcW w:w="967" w:type="dxa"/>
            <w:tcBorders>
              <w:top w:val="single" w:color="000000" w:sz="4" w:space="0"/>
              <w:left w:val="single" w:color="000000" w:sz="4" w:space="0"/>
              <w:bottom w:val="single" w:color="000000" w:sz="4" w:space="0"/>
              <w:right w:val="single" w:color="000000" w:sz="4" w:space="0"/>
            </w:tcBorders>
            <w:vAlign w:val="bottom"/>
          </w:tcPr>
          <w:p>
            <w:pPr>
              <w:spacing w:line="276" w:lineRule="auto"/>
              <w:ind w:left="0" w:right="0" w:firstLine="0"/>
              <w:jc w:val="center"/>
            </w:pPr>
            <w:r>
              <w:rPr>
                <w:i/>
                <w:sz w:val="20"/>
                <w:szCs w:val="20"/>
              </w:rPr>
              <w:t xml:space="preserve">1 of 1 </w:t>
            </w:r>
          </w:p>
        </w:tc>
      </w:tr>
    </w:tbl>
    <w:p>
      <w:pPr>
        <w:spacing w:after="2" w:line="240" w:lineRule="auto"/>
        <w:ind w:left="0" w:right="0" w:firstLine="0"/>
      </w:pPr>
      <w:r>
        <w:t xml:space="preserve"> </w:t>
      </w:r>
    </w:p>
    <w:p>
      <w:pPr>
        <w:spacing w:line="240" w:lineRule="auto"/>
        <w:ind w:left="0" w:right="0" w:firstLine="0"/>
        <w:jc w:val="center"/>
      </w:pPr>
      <w:r>
        <w:rPr>
          <w:color w:val="C00000"/>
          <w:sz w:val="36"/>
          <w:szCs w:val="36"/>
          <w:u w:val="single"/>
        </w:rPr>
        <w:t>TOPIC PROPOSAL FORMAT</w:t>
      </w:r>
      <w:r>
        <w:rPr>
          <w:color w:val="C00000"/>
          <w:sz w:val="36"/>
          <w:szCs w:val="36"/>
        </w:rPr>
        <w:t xml:space="preserve"> </w:t>
      </w:r>
    </w:p>
    <w:p>
      <w:pPr>
        <w:spacing w:after="47" w:line="240" w:lineRule="auto"/>
        <w:ind w:left="0" w:right="0" w:firstLine="0"/>
      </w:pPr>
      <w:r>
        <w:t xml:space="preserve"> </w:t>
      </w:r>
    </w:p>
    <w:p>
      <w:pPr>
        <w:ind w:left="5" w:right="53"/>
      </w:pPr>
      <w:r>
        <w:rPr>
          <w:b/>
        </w:rPr>
        <w:t xml:space="preserve">Project Team Leader: </w:t>
      </w:r>
      <w:r>
        <w:t xml:space="preserve">1. Faderanga Janrey Cyril </w:t>
      </w:r>
    </w:p>
    <w:p>
      <w:pPr>
        <w:spacing w:after="20" w:line="259" w:lineRule="auto"/>
        <w:ind w:left="15" w:firstLine="0"/>
      </w:pPr>
      <w:r>
        <w:t xml:space="preserve">  </w:t>
      </w:r>
    </w:p>
    <w:p>
      <w:pPr>
        <w:spacing w:after="162"/>
        <w:ind w:left="5" w:right="53"/>
      </w:pPr>
      <w:r>
        <w:t xml:space="preserve">Team Member(s): 2.   Pangilinan Kyrah  </w:t>
      </w:r>
    </w:p>
    <w:p>
      <w:pPr>
        <w:tabs>
          <w:tab w:val="center" w:pos="736"/>
          <w:tab w:val="center" w:pos="2789"/>
        </w:tabs>
        <w:ind w:firstLine="0"/>
      </w:pPr>
      <w:r>
        <w:t xml:space="preserve">  </w:t>
      </w:r>
      <w:r>
        <w:tab/>
      </w:r>
      <w:r>
        <w:t xml:space="preserve">  </w:t>
      </w:r>
      <w:r>
        <w:tab/>
      </w:r>
      <w:r>
        <w:t xml:space="preserve">     3.   Santarin Mary Grace  </w:t>
      </w:r>
    </w:p>
    <w:p>
      <w:pPr>
        <w:spacing w:after="30" w:line="259" w:lineRule="auto"/>
        <w:ind w:left="15" w:firstLine="0"/>
      </w:pPr>
      <w:r>
        <w:t xml:space="preserve">  </w:t>
      </w:r>
    </w:p>
    <w:p>
      <w:pPr>
        <w:spacing w:line="259" w:lineRule="auto"/>
        <w:rPr>
          <w:rFonts w:hint="default" w:ascii="Times New Roman" w:hAnsi="Times New Roman" w:cs="Times New Roman"/>
        </w:rPr>
      </w:pPr>
      <w:r>
        <w:rPr>
          <w:rFonts w:hint="default" w:ascii="Times New Roman" w:hAnsi="Times New Roman" w:cs="Times New Roman"/>
          <w:b/>
        </w:rPr>
        <w:t>Project Proposal 1:</w:t>
      </w:r>
      <w:r>
        <w:rPr>
          <w:rFonts w:hint="default" w:ascii="Times New Roman" w:hAnsi="Times New Roman" w:cs="Times New Roman"/>
        </w:rPr>
        <w:t xml:space="preserve">  </w:t>
      </w:r>
    </w:p>
    <w:p>
      <w:pPr>
        <w:spacing w:line="259" w:lineRule="auto"/>
        <w:ind w:left="0" w:firstLine="0"/>
        <w:rPr>
          <w:rFonts w:hint="default" w:ascii="Times New Roman" w:hAnsi="Times New Roman" w:cs="Times New Roman"/>
        </w:rPr>
      </w:pPr>
      <w:bookmarkStart w:id="1" w:name="_GoBack"/>
      <w:r>
        <w:rPr>
          <w:rFonts w:hint="default" w:ascii="Times New Roman" w:hAnsi="Times New Roman" w:eastAsia="Segoe UI" w:cs="Times New Roman"/>
          <w:i w:val="0"/>
          <w:iCs w:val="0"/>
          <w:caps w:val="0"/>
          <w:color w:val="0D0D0D"/>
          <w:spacing w:val="0"/>
          <w:sz w:val="24"/>
          <w:szCs w:val="24"/>
          <w:shd w:val="clear" w:fill="FFFFFF"/>
        </w:rPr>
        <w:t>Developing a web-based personalized finance budgeting system</w:t>
      </w:r>
      <w:r>
        <w:rPr>
          <w:rFonts w:hint="default" w:ascii="Times New Roman" w:hAnsi="Times New Roman" w:cs="Times New Roman"/>
        </w:rPr>
        <w:t xml:space="preserve"> </w:t>
      </w:r>
    </w:p>
    <w:bookmarkEnd w:id="1"/>
    <w:p>
      <w:pPr>
        <w:spacing w:line="259" w:lineRule="auto"/>
        <w:ind w:left="0" w:firstLine="0"/>
        <w:rPr>
          <w:rFonts w:hint="default" w:ascii="Times New Roman" w:hAnsi="Times New Roman" w:cs="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Areas of Investigation: </w:t>
      </w:r>
    </w:p>
    <w:p>
      <w:pPr>
        <w:spacing w:line="259" w:lineRule="auto"/>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area of investigation revolves around the creation and implementation of a comprehensive web-based personalized finance budgeting system. This system aims to empower individuals to manage their finances effectively, thereby fostering financial literacy, stability, and security.</w:t>
      </w:r>
    </w:p>
    <w:p>
      <w:pPr>
        <w:spacing w:line="259" w:lineRule="auto"/>
        <w:rPr>
          <w:rFonts w:hint="default" w:ascii="Times New Roman" w:hAnsi="Times New Roman" w:eastAsia="Segoe UI" w:cs="Times New Roman"/>
          <w:i w:val="0"/>
          <w:iCs w:val="0"/>
          <w:caps w:val="0"/>
          <w:color w:val="0D0D0D"/>
          <w:spacing w:val="0"/>
          <w:sz w:val="24"/>
          <w:szCs w:val="24"/>
          <w:shd w:val="clear" w:fill="FFFFFF"/>
        </w:rPr>
      </w:pPr>
    </w:p>
    <w:p>
      <w:pPr>
        <w:spacing w:line="259" w:lineRule="auto"/>
        <w:rPr>
          <w:rFonts w:hint="default" w:ascii="Times New Roman" w:hAnsi="Times New Roman" w:cs="Times New Roman"/>
          <w:b/>
        </w:rPr>
      </w:pPr>
      <w:r>
        <w:rPr>
          <w:rFonts w:hint="default" w:ascii="Times New Roman" w:hAnsi="Times New Roman" w:cs="Times New Roman"/>
          <w:b/>
        </w:rPr>
        <w:t xml:space="preserve">Purpose and Description of the Proposed Topic:  </w:t>
      </w:r>
    </w:p>
    <w:p>
      <w:pPr>
        <w:spacing w:line="259" w:lineRule="auto"/>
        <w:rPr>
          <w:rFonts w:hint="default" w:ascii="Times New Roman" w:hAnsi="Times New Roman" w:cs="Times New Roman"/>
        </w:rPr>
      </w:pPr>
      <w:r>
        <w:rPr>
          <w:rFonts w:hint="default" w:ascii="Times New Roman" w:hAnsi="Times New Roman" w:eastAsia="Segoe UI" w:cs="Times New Roman"/>
          <w:i w:val="0"/>
          <w:iCs w:val="0"/>
          <w:caps w:val="0"/>
          <w:color w:val="0D0D0D"/>
          <w:spacing w:val="0"/>
          <w:sz w:val="24"/>
          <w:szCs w:val="24"/>
          <w:shd w:val="clear" w:fill="FFFFFF"/>
        </w:rPr>
        <w:t>The purpose of this project is to create a user-friendly, web-based platform that enables individuals to manage their personal finances effectively through budgeting. This system will offer personalized features tailored to the user's financial situation, helping them track expenses, set financial goals, and make informed financial decisions.</w:t>
      </w:r>
    </w:p>
    <w:p>
      <w:pPr>
        <w:spacing w:after="30" w:line="259" w:lineRule="auto"/>
        <w:ind w:left="15" w:firstLine="0"/>
        <w:rPr>
          <w:rFonts w:hint="default" w:ascii="Times New Roman" w:hAnsi="Times New Roman" w:cs="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Main Problem:   </w:t>
      </w:r>
    </w:p>
    <w:p>
      <w:pPr>
        <w:spacing w:line="259" w:lineRule="auto"/>
        <w:rPr>
          <w:rFonts w:hint="default" w:ascii="Times New Roman" w:hAnsi="Times New Roman" w:cs="Times New Roman"/>
          <w:b/>
        </w:rPr>
      </w:pPr>
      <w:r>
        <w:rPr>
          <w:rFonts w:hint="default" w:ascii="Times New Roman" w:hAnsi="Times New Roman" w:eastAsia="Segoe UI" w:cs="Times New Roman"/>
          <w:i w:val="0"/>
          <w:iCs w:val="0"/>
          <w:caps w:val="0"/>
          <w:color w:val="0D0D0D"/>
          <w:spacing w:val="0"/>
          <w:sz w:val="24"/>
          <w:szCs w:val="24"/>
          <w:shd w:val="clear" w:fill="FFFFFF"/>
        </w:rPr>
        <w:t>The main problem prompting the development of this system is the widespread lack of effective financial management tools and resources available to individuals. Many people struggle with budgeting and fail to maintain control over their finances, leading to overspending, debt accumulation, and financial insecurity. Additionally, traditional financial management software often proves too complex or inaccessible for the average user, further exacerbating the issue.</w:t>
      </w:r>
    </w:p>
    <w:p>
      <w:pPr>
        <w:ind w:left="0" w:leftChars="0" w:right="53" w:firstLine="0" w:firstLineChars="0"/>
        <w:rPr>
          <w:rFonts w:hint="default" w:ascii="Times New Roman" w:hAnsi="Times New Roman" w:cs="Times New Roman"/>
          <w:b/>
          <w:bCs/>
        </w:rPr>
      </w:pPr>
    </w:p>
    <w:p>
      <w:pPr>
        <w:ind w:left="0" w:leftChars="0" w:right="53" w:firstLine="0" w:firstLineChars="0"/>
        <w:rPr>
          <w:rFonts w:hint="default" w:ascii="Times New Roman" w:hAnsi="Times New Roman" w:cs="Times New Roman"/>
          <w:b/>
          <w:bCs/>
        </w:rPr>
      </w:pPr>
      <w:r>
        <w:rPr>
          <w:rFonts w:hint="default" w:ascii="Times New Roman" w:hAnsi="Times New Roman" w:cs="Times New Roman"/>
          <w:b/>
          <w:bCs/>
        </w:rPr>
        <w:t xml:space="preserve">Causes of the Problem:  </w:t>
      </w:r>
    </w:p>
    <w:p>
      <w:pPr>
        <w:numPr>
          <w:ilvl w:val="0"/>
          <w:numId w:val="1"/>
        </w:numPr>
        <w:ind w:left="0" w:leftChars="0" w:right="53" w:firstLine="0" w:firstLineChars="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Lack of accessible and intuitive budgeting tools: Existing financial management software may be overly complex or lack user-friendly interfaces, making it challenging for individuals to effectively manage their finances. </w:t>
      </w:r>
    </w:p>
    <w:p>
      <w:pPr>
        <w:numPr>
          <w:numId w:val="0"/>
        </w:numPr>
        <w:ind w:leftChars="0" w:right="53" w:rightChars="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B. Limited personal finance education and awareness: Many individuals lack the necessary knowledge and skills to manage their finances effectively, leading to poor financial decision-making and outcomes.</w:t>
      </w:r>
    </w:p>
    <w:p>
      <w:pPr>
        <w:numPr>
          <w:numId w:val="0"/>
        </w:numPr>
        <w:ind w:leftChars="0" w:right="53" w:rightChars="0"/>
        <w:rPr>
          <w:rFonts w:hint="default" w:ascii="Times New Roman" w:hAnsi="Times New Roman" w:cs="Times New Roman"/>
        </w:rPr>
      </w:pPr>
      <w:r>
        <w:rPr>
          <w:rFonts w:hint="default" w:ascii="Times New Roman" w:hAnsi="Times New Roman" w:eastAsia="Segoe UI" w:cs="Times New Roman"/>
          <w:i w:val="0"/>
          <w:iCs w:val="0"/>
          <w:caps w:val="0"/>
          <w:color w:val="0D0D0D"/>
          <w:spacing w:val="0"/>
          <w:sz w:val="24"/>
          <w:szCs w:val="24"/>
          <w:shd w:val="clear" w:fill="FFFFFF"/>
        </w:rPr>
        <w:t>C. Complexity of traditional financial management software: Conventional financial management software often requires a steep learning curve and may overwhelm users with unnecessary features, deterring them from engaging with the platform.</w:t>
      </w:r>
    </w:p>
    <w:p>
      <w:pPr>
        <w:ind w:left="5" w:right="53"/>
        <w:rPr>
          <w:rFonts w:hint="default" w:ascii="Times New Roman" w:hAnsi="Times New Roman" w:cs="Times New Roman"/>
          <w:b/>
          <w:bCs/>
        </w:rPr>
      </w:pPr>
      <w:r>
        <w:rPr>
          <w:rFonts w:hint="default" w:ascii="Times New Roman" w:hAnsi="Times New Roman" w:cs="Times New Roman"/>
          <w:b/>
          <w:bCs/>
        </w:rPr>
        <w:t xml:space="preserve">Effects of the Problem:  </w:t>
      </w:r>
    </w:p>
    <w:p>
      <w:pPr>
        <w:numPr>
          <w:ilvl w:val="0"/>
          <w:numId w:val="2"/>
        </w:numPr>
        <w:ind w:left="5" w:right="53"/>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Financial stress and anxiety: Inadequate financial management can result in heightened levels of stress and anxiety, as individuals struggle to make ends meet or face unexpected financial challenges. </w:t>
      </w:r>
    </w:p>
    <w:p>
      <w:pPr>
        <w:numPr>
          <w:ilvl w:val="0"/>
          <w:numId w:val="2"/>
        </w:numPr>
        <w:ind w:left="5" w:leftChars="0" w:right="53" w:rightChars="0" w:hanging="10" w:firstLineChars="0"/>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Overspending and debt accumulation: Without proper budgeting and financial planning, individuals may overspend, accumulate debt, and find themselves in precarious financial situations. </w:t>
      </w:r>
    </w:p>
    <w:p>
      <w:pPr>
        <w:numPr>
          <w:numId w:val="0"/>
        </w:numPr>
        <w:ind w:left="-5" w:leftChars="0" w:right="53" w:rightChars="0"/>
        <w:rPr>
          <w:rFonts w:hint="default" w:ascii="Times New Roman" w:hAnsi="Times New Roman" w:cs="Times New Roman"/>
          <w:b/>
          <w:bCs/>
        </w:rPr>
      </w:pPr>
      <w:r>
        <w:rPr>
          <w:rFonts w:hint="default" w:ascii="Times New Roman" w:hAnsi="Times New Roman" w:eastAsia="Segoe UI" w:cs="Times New Roman"/>
          <w:i w:val="0"/>
          <w:iCs w:val="0"/>
          <w:caps w:val="0"/>
          <w:color w:val="0D0D0D"/>
          <w:spacing w:val="0"/>
          <w:sz w:val="24"/>
          <w:szCs w:val="24"/>
          <w:shd w:val="clear" w:fill="FFFFFF"/>
        </w:rPr>
        <w:t>C. Inability to meet financial goals and save for the future: Without effective financial management tools, individuals may struggle to set and achieve financial goals, such as saving for retirement, purchasing a home, or funding education.</w:t>
      </w:r>
    </w:p>
    <w:p>
      <w:pPr>
        <w:spacing w:after="20" w:line="259" w:lineRule="auto"/>
        <w:ind w:left="0" w:firstLine="0"/>
        <w:rPr>
          <w:rFonts w:hint="default" w:ascii="Times New Roman" w:hAnsi="Times New Roman" w:cs="Times New Roman"/>
        </w:rPr>
      </w:pPr>
    </w:p>
    <w:p>
      <w:pPr>
        <w:spacing w:line="259" w:lineRule="auto"/>
        <w:rPr>
          <w:rFonts w:hint="default" w:ascii="Times New Roman" w:hAnsi="Times New Roman" w:cs="Times New Roman"/>
          <w:b/>
        </w:rPr>
      </w:pPr>
      <w:r>
        <w:rPr>
          <w:rFonts w:hint="default" w:ascii="Times New Roman" w:hAnsi="Times New Roman" w:cs="Times New Roman"/>
          <w:b/>
        </w:rPr>
        <w:t xml:space="preserve">Target Users/ Beneficiaries:  </w:t>
      </w:r>
    </w:p>
    <w:p>
      <w:pPr>
        <w:spacing w:line="259" w:lineRule="auto"/>
        <w:rPr>
          <w:rFonts w:hint="default" w:ascii="Times New Roman" w:hAnsi="Times New Roman" w:cs="Times New Roman"/>
          <w:b/>
        </w:rPr>
      </w:pPr>
      <w:r>
        <w:rPr>
          <w:rFonts w:hint="default" w:ascii="Times New Roman" w:hAnsi="Times New Roman" w:eastAsia="Segoe UI" w:cs="Times New Roman"/>
          <w:i w:val="0"/>
          <w:iCs w:val="0"/>
          <w:caps w:val="0"/>
          <w:color w:val="0D0D0D"/>
          <w:spacing w:val="0"/>
          <w:sz w:val="24"/>
          <w:szCs w:val="24"/>
          <w:shd w:val="clear" w:fill="FFFFFF"/>
        </w:rPr>
        <w:t>The target users of the proposed web-based personal finance budgeting system encompass individuals from diverse socioeconomic backgrounds and age groups who seek to improve their financial literacy and stability.</w:t>
      </w:r>
    </w:p>
    <w:p>
      <w:pPr>
        <w:spacing w:line="259" w:lineRule="auto"/>
        <w:ind w:left="0" w:firstLine="0"/>
      </w:pPr>
      <w:r>
        <w:t xml:space="preserve">   </w:t>
      </w:r>
    </w:p>
    <w:p>
      <w:pPr>
        <w:spacing w:after="30" w:line="259" w:lineRule="auto"/>
        <w:ind w:left="15" w:firstLine="0"/>
      </w:pPr>
      <w:r>
        <w:t xml:space="preserve">  </w:t>
      </w:r>
    </w:p>
    <w:p>
      <w:pPr>
        <w:spacing w:line="259" w:lineRule="auto"/>
        <w:rPr>
          <w:b/>
        </w:rPr>
      </w:pPr>
      <w:r>
        <w:rPr>
          <w:b/>
        </w:rPr>
        <w:t>Related Studies/ Projects:</w:t>
      </w:r>
    </w:p>
    <w:p>
      <w:pPr>
        <w:ind w:left="0" w:firstLine="0"/>
        <w:rPr>
          <w:rFonts w:hint="default"/>
        </w:rPr>
      </w:pPr>
      <w:r>
        <w:rPr>
          <w:rFonts w:hint="default"/>
        </w:rPr>
        <w:t>[1] Crankshaw, H. (2006). Personal Financial Planning: Strategies for Successful Practice Management. Citeseer.</w:t>
      </w:r>
    </w:p>
    <w:p>
      <w:pPr>
        <w:ind w:left="0" w:firstLine="0"/>
        <w:rPr>
          <w:rFonts w:hint="default"/>
        </w:rPr>
      </w:pPr>
      <w:r>
        <w:rPr>
          <w:rFonts w:hint="default"/>
        </w:rPr>
        <w:t>[2] Doda, S., &amp; S. Fortuzi. (2015). The Process of Financial Planning in Personal Finance. International Journal of Human Resource Studies, 5(4), 28-35.</w:t>
      </w:r>
    </w:p>
    <w:p>
      <w:pPr>
        <w:ind w:left="0" w:firstLine="0"/>
        <w:rPr>
          <w:rFonts w:hint="default"/>
        </w:rPr>
      </w:pPr>
      <w:r>
        <w:rPr>
          <w:rFonts w:hint="default"/>
        </w:rPr>
        <w:t>[3] Guthrie, C. P., &amp; C. M. Nicholls. (2015). The Personal Budget Project: A Practical Introduction to Financial Literacy. Journal of Accounting Education, 33(2), 138-163.</w:t>
      </w:r>
    </w:p>
    <w:p>
      <w:pPr>
        <w:ind w:left="0" w:firstLine="0"/>
        <w:rPr>
          <w:rFonts w:hint="default"/>
        </w:rPr>
      </w:pPr>
      <w:r>
        <w:rPr>
          <w:rFonts w:hint="default"/>
        </w:rPr>
        <w:t>[4] Hanna, S. D., &amp; S. Lindamood. (2010). Quantifying the Economic Benefits of Personal Financial Planning.</w:t>
      </w:r>
    </w:p>
    <w:p>
      <w:pPr>
        <w:ind w:left="0" w:firstLine="0"/>
        <w:rPr>
          <w:rFonts w:hint="default"/>
        </w:rPr>
      </w:pPr>
      <w:r>
        <w:rPr>
          <w:rFonts w:hint="default"/>
        </w:rPr>
        <w:t>[5] Herdjiono, I., &amp; L. A. Damanik. (2016). Pengaruh Financial Attitude, Financial Knowledge, Parental Income Terhadap Financial Management Behavior. Jurnal Manajemen Teori dan Terapan| Journal of Theory and Applied Management, 9(3).</w:t>
      </w:r>
    </w:p>
    <w:p>
      <w:pPr>
        <w:ind w:left="0" w:firstLine="0"/>
        <w:rPr>
          <w:rFonts w:hint="default"/>
        </w:rPr>
      </w:pPr>
      <w:r>
        <w:rPr>
          <w:rFonts w:hint="default"/>
        </w:rPr>
        <w:t>[6] Hilgert, M. A., J. M. Hogarth, &amp; S. G. Beverly. (2003). Household Financial Management: The Connection between Knowledge and Behavior. Fed. Res. Bull., 89, 309.</w:t>
      </w:r>
    </w:p>
    <w:p>
      <w:pPr>
        <w:ind w:left="0" w:firstLine="0"/>
        <w:rPr>
          <w:rFonts w:hint="default"/>
        </w:rPr>
      </w:pPr>
      <w:r>
        <w:rPr>
          <w:rFonts w:hint="default"/>
        </w:rPr>
        <w:t>[7] Hogarth, J. M., S. G. Beverly, &amp; M. Hilgert. (2003). Patterns of Financial Behaviors: Implications for Community Educators and Policy Makers.</w:t>
      </w:r>
    </w:p>
    <w:p>
      <w:pPr>
        <w:ind w:left="0" w:firstLine="0"/>
        <w:rPr>
          <w:rFonts w:hint="default"/>
        </w:rPr>
      </w:pPr>
      <w:r>
        <w:rPr>
          <w:rFonts w:hint="default"/>
        </w:rPr>
        <w:t>[8] James, J., W. Hadley Leavell, &amp; B. Maniam. (2002). Financial Planning, Managers, and College Students. Managerial Finance, 28(7), 35-42.</w:t>
      </w:r>
    </w:p>
    <w:p>
      <w:pPr>
        <w:ind w:left="0" w:firstLine="0"/>
        <w:rPr>
          <w:rFonts w:hint="default"/>
        </w:rPr>
      </w:pPr>
      <w:r>
        <w:rPr>
          <w:rFonts w:hint="default"/>
        </w:rPr>
        <w:t>[9] Karlan, D., J. Berry, &amp; M. P. Pradhan. (2015). The Impact of Financial Education for Youth in Ghana.</w:t>
      </w:r>
    </w:p>
    <w:p>
      <w:pPr>
        <w:ind w:left="0" w:firstLine="0"/>
        <w:rPr>
          <w:rFonts w:hint="default"/>
        </w:rPr>
      </w:pPr>
      <w:r>
        <w:rPr>
          <w:rFonts w:hint="default"/>
        </w:rPr>
        <w:t>[10] Messer, R. (2017). Budgets and Other Lies: Evidence of Bias in Financial Planning. Business Horizons, 60(4), 447-453.</w:t>
      </w:r>
    </w:p>
    <w:p>
      <w:pPr>
        <w:ind w:left="0" w:firstLine="0"/>
        <w:rPr>
          <w:rFonts w:hint="default"/>
        </w:rPr>
      </w:pPr>
      <w:r>
        <w:rPr>
          <w:rFonts w:hint="default"/>
        </w:rPr>
        <w:t>[11] Murphy, D. S., &amp; S. Yetmar. (2010). Personal Financial Planning Attitudes: A Preliminary Study of Graduate Students. Management Research Review, 33(8), 811-817.</w:t>
      </w:r>
    </w:p>
    <w:p>
      <w:pPr>
        <w:ind w:left="0" w:firstLine="0"/>
        <w:rPr>
          <w:rFonts w:hint="default"/>
        </w:rPr>
      </w:pPr>
      <w:r>
        <w:rPr>
          <w:rFonts w:hint="default"/>
        </w:rPr>
        <w:t>[12] Patel, A. T., &amp; S. Kumar. (2017). A Study of Awareness, Attitude and Factors Influencing Personal Financial Planning for Residents of Gujarat.</w:t>
      </w:r>
    </w:p>
    <w:p>
      <w:pPr>
        <w:ind w:left="0" w:firstLine="0"/>
        <w:rPr>
          <w:rFonts w:hint="default"/>
        </w:rPr>
      </w:pPr>
      <w:r>
        <w:rPr>
          <w:rFonts w:hint="default"/>
        </w:rPr>
        <w:t>[13] Potrich, A. C. G., K. M. Vieira, &amp; W. Mendes-Da-Silva. (2016). Development of a Financial Literacy Model for University Students. Management Research Review, 39(3), 356-376.</w:t>
      </w:r>
    </w:p>
    <w:p>
      <w:pPr>
        <w:ind w:left="0" w:firstLine="0"/>
        <w:rPr>
          <w:rFonts w:hint="default"/>
        </w:rPr>
      </w:pPr>
      <w:r>
        <w:rPr>
          <w:rFonts w:hint="default"/>
        </w:rPr>
        <w:t>[14] Shen, C.-H., S.-J. Lin, D.-P. Tang, &amp; Y.-J. Hsiao. (2016). The Relationship between Financial Disputes and Financial Literacy. Pacific-Basin Finance Journal, 36, 46-65.</w:t>
      </w:r>
    </w:p>
    <w:p>
      <w:pPr>
        <w:ind w:left="0" w:firstLine="0"/>
        <w:rPr>
          <w:rFonts w:hint="default"/>
        </w:rPr>
      </w:pPr>
      <w:r>
        <w:rPr>
          <w:rFonts w:hint="default"/>
        </w:rPr>
        <w:t>[15] Silva, T. P. d., C. B. D. Magro, M. C. Gorla, &amp; W. T. Nakamura. (2017). Financial Education Level of High School Students and Its Economic Reflections. Revista de Administração (São Paulo), 52(3), 285-303.</w:t>
      </w:r>
    </w:p>
    <w:p>
      <w:pPr>
        <w:ind w:left="0" w:firstLine="0"/>
        <w:rPr>
          <w:rFonts w:hint="default"/>
        </w:rPr>
      </w:pPr>
      <w:r>
        <w:rPr>
          <w:rFonts w:hint="default"/>
        </w:rPr>
        <w:t>[16] Tiboh, T. (2016). An Analysis of Personal Financial Literacy among Polytechnic Students-a Case of Kumasi Polytechnics.</w:t>
      </w:r>
    </w:p>
    <w:p>
      <w:pPr>
        <w:ind w:left="0" w:firstLine="0"/>
        <w:rPr>
          <w:rFonts w:hint="default"/>
        </w:rPr>
      </w:pPr>
      <w:r>
        <w:rPr>
          <w:rFonts w:hint="default"/>
        </w:rPr>
        <w:t>[17] Vicente-Molina, M. A., A. Fernández-Sáinz, &amp; J. Izagirre-Olaizola. (2013). Environmental Knowledge and Other Variables Affecting Pro-Environmental Behaviour: Comparison of University Students from Emerging and Advanced Countries. Journal of Cleaner Production, 61, 130-138.</w:t>
      </w:r>
    </w:p>
    <w:p>
      <w:pPr>
        <w:ind w:left="0" w:firstLine="0"/>
        <w:rPr>
          <w:rFonts w:hint="default"/>
        </w:rPr>
      </w:pPr>
      <w:r>
        <w:rPr>
          <w:rFonts w:hint="default"/>
        </w:rPr>
        <w:t>[18] Wagner, J., &amp; W. B. Walstad. (2015). The Effects of Financial Education on Short-Term and Long-Term Financial Behaviors. Journal of Consumer Affairs.</w:t>
      </w:r>
    </w:p>
    <w:p>
      <w:pPr>
        <w:ind w:left="0" w:firstLine="0"/>
        <w:rPr>
          <w:rFonts w:hint="default"/>
        </w:rPr>
      </w:pPr>
      <w:r>
        <w:rPr>
          <w:rFonts w:hint="default"/>
        </w:rPr>
        <w:t>[19] Winger, B. J., &amp; R. R. Frasca. (2002). Personal Finance: An Integrated Planning Approach: Prentice Hal.</w:t>
      </w:r>
    </w:p>
    <w:p>
      <w:pPr>
        <w:ind w:left="0" w:firstLine="0"/>
      </w:pPr>
    </w:p>
    <w:p>
      <w:pPr>
        <w:spacing w:after="45" w:line="240" w:lineRule="auto"/>
        <w:ind w:left="0" w:right="0" w:firstLine="0"/>
      </w:pPr>
      <w:r>
        <w:t xml:space="preserve"> </w:t>
      </w:r>
    </w:p>
    <w:p>
      <w:pPr>
        <w:spacing w:after="421" w:line="270" w:lineRule="auto"/>
        <w:ind w:left="6596" w:right="0" w:hanging="1956"/>
      </w:pPr>
    </w:p>
    <w:p>
      <w:pPr>
        <w:spacing w:after="421" w:line="270" w:lineRule="auto"/>
        <w:ind w:left="6596" w:right="0" w:hanging="1956"/>
      </w:pPr>
    </w:p>
    <w:p>
      <w:pPr>
        <w:spacing w:after="421" w:line="270" w:lineRule="auto"/>
        <w:ind w:left="6596" w:right="0" w:hanging="1956"/>
        <w:rPr>
          <w:i/>
        </w:rPr>
      </w:pPr>
      <w:r>
        <w:t>Approved by:</w:t>
      </w:r>
      <w:r>
        <w:rPr>
          <w:i/>
        </w:rPr>
        <w:t xml:space="preserve"> </w:t>
      </w:r>
    </w:p>
    <w:p>
      <w:pPr>
        <w:spacing w:after="421" w:line="270" w:lineRule="auto"/>
        <w:ind w:left="6596" w:right="0" w:hanging="1956"/>
        <w:jc w:val="right"/>
      </w:pPr>
      <w:bookmarkStart w:id="0" w:name="_gjdgxs" w:colFirst="0" w:colLast="0"/>
      <w:bookmarkEnd w:id="0"/>
      <w:r>
        <w:rPr>
          <w:b/>
          <w:i/>
        </w:rPr>
        <w:t>Asst. Prof. Maria Victoria G. Solatorio</w:t>
      </w:r>
      <w:r>
        <w:rPr>
          <w:i/>
        </w:rPr>
        <w:t xml:space="preserve"> </w:t>
      </w:r>
      <w:r>
        <w:rPr>
          <w:i/>
          <w:sz w:val="22"/>
          <w:szCs w:val="22"/>
        </w:rPr>
        <w:t xml:space="preserve">Course Instructor Name </w:t>
      </w:r>
    </w:p>
    <w:p>
      <w:pPr>
        <w:spacing w:line="240" w:lineRule="auto"/>
        <w:ind w:left="0" w:right="0" w:firstLine="0"/>
        <w:jc w:val="right"/>
      </w:pPr>
      <w:r>
        <w:t xml:space="preserve"> </w:t>
      </w:r>
    </w:p>
    <w:p>
      <w:pPr>
        <w:spacing w:line="240" w:lineRule="auto"/>
        <w:ind w:left="0" w:right="0" w:firstLine="0"/>
      </w:pPr>
      <w:r>
        <w:t xml:space="preserve"> </w:t>
      </w:r>
    </w:p>
    <w:sectPr>
      <w:pgSz w:w="11906" w:h="16838"/>
      <w:pgMar w:top="1440" w:right="1378"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37" w:lineRule="auto"/>
      </w:pPr>
      <w:r>
        <w:separator/>
      </w:r>
    </w:p>
  </w:footnote>
  <w:footnote w:type="continuationSeparator" w:id="1">
    <w:p>
      <w:pPr>
        <w:spacing w:line="23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CBE24"/>
    <w:multiLevelType w:val="singleLevel"/>
    <w:tmpl w:val="A5ECBE24"/>
    <w:lvl w:ilvl="0" w:tentative="0">
      <w:start w:val="1"/>
      <w:numFmt w:val="upperLetter"/>
      <w:suff w:val="space"/>
      <w:lvlText w:val="%1."/>
      <w:lvlJc w:val="left"/>
    </w:lvl>
  </w:abstractNum>
  <w:abstractNum w:abstractNumId="1">
    <w:nsid w:val="155F5CD3"/>
    <w:multiLevelType w:val="singleLevel"/>
    <w:tmpl w:val="155F5CD3"/>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A9"/>
    <w:rsid w:val="00B174D1"/>
    <w:rsid w:val="00C161A9"/>
    <w:rsid w:val="168F12BB"/>
    <w:rsid w:val="52BF0C2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37" w:lineRule="auto"/>
      <w:ind w:left="-5" w:right="-15" w:hanging="10"/>
    </w:pPr>
    <w:rPr>
      <w:rFonts w:ascii="Times New Roman" w:hAnsi="Times New Roman" w:eastAsia="Times New Roman" w:cs="Times New Roman"/>
      <w:sz w:val="24"/>
      <w:szCs w:val="24"/>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uiPriority w:val="0"/>
    <w:pPr>
      <w:spacing w:line="240" w:lineRule="auto"/>
    </w:pPr>
    <w:tblPr>
      <w:tblCellMar>
        <w:left w:w="64"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132</Words>
  <Characters>757</Characters>
  <Lines>6</Lines>
  <Paragraphs>1</Paragraphs>
  <TotalTime>8</TotalTime>
  <ScaleCrop>false</ScaleCrop>
  <LinksUpToDate>false</LinksUpToDate>
  <CharactersWithSpaces>888</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2024-03-15T05:18:00Z</dcterms:created>
  <dc:creator>User1</dc:creator>
  <cp:lastModifiedBy>Faderanga, JC</cp:lastModifiedBy>
  <dcterms:modified xsi:type="dcterms:W3CDTF">2024-03-15T05:44:53Z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B596B5B4FFA84B2DA9D18E2781E3DDC1_13</vt:lpwstr>
  </property>
</Properties>
</file>