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2873"/>
        <w:gridCol w:w="1823"/>
      </w:tblGrid>
      <w:tr>
        <w:trPr/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eastAsia="en-US" w:bidi="ar-SA"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eastAsia="en-US" w:bidi="ar-SA" w:val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</Pages>
  <Words>61</Words>
  <Characters>534</Characters>
  <CharactersWithSpaces>557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2021-07-09T02:16:25Z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