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43</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Villavicencio</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2022-04-29 10:00:00</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https://maps.google.com/?q=4.1649667,-73.6323184</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Baja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Comuna 4</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Rio Guatiquia</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Reporte: creciente súbita Río Guatiquia afectación del dique perimetral sector la aurora Municipio: Villavicencio Fecha: 29 abril del 2022 Hora: 10:00am Descripción: Debido a las fuertes precipitaciones de las últimas horas en la ciudad de Villavicencio, se presenta creciente súbita del río Guatiquia sector la aurora generando afectación del dique perimetral sector la aurora Acciones realizadas: mediante trabajo articulado y coordinación entre la oficina de gestión del riesgo y cruz roja se realiza la  verificación del punto critico Quién atiende: Cruz roja y Oficina de Gestión del Riesgo Afectaciones: afectación del dique perimetral sector la aurora Quien reporta: oficina de gestión del Riesgo Villavicencio</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5.625cm;height:10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