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Carlson</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Final</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17th, 2026</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Project One test suite checks the Contact, Task, and Appointment features against the customer’s requirements. All 69 JUnit tests passed. My main takeaway is that useful testing requires checking both the requested result and the state that must remain unchanged.</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ContactTest covers the permanent ID, the 10-character name limits, the exactly 10-digit phone number, and the 30-character address limit. It includes null values, excessive lengths, and invalid phone characters. ContactServiceTest verifies unique additions, deletion by ID, and updates to all four editable fields. It also checks that editing one contact leaves another contact unchanged.</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TaskTest checks the 10-character permanent ID, 20-character name, and 50-character description, including null and over-limit inputs. TaskServiceTest verifies unique additions, deletion, and updates to name and description. AppointmentTest checks its permanent ID, 50-character description, and required java.util.Date, rejecting past dates. AppointmentServiceTest verifies unique additions and deletion.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JaCoCo measured 100% line and branch coverage in each of the six application classes, exceeding the required 80%. The test classes are excluded from those measurements. Coverage shows execution, while assertions establish expected behavior (JaCoCo Team, n.d.). Passing tests and full coverage support the suite’s effectiveness, but they cannot establish that every possible input or defect has been addressed.</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tests check postconditions as well as exceptions. In TaskServiceTest.java, line 14 rejects a duplicate task, and line 15 uses assertSame(first, service.getTask("1")); to verify that rejection preserved the original object. This catches an implementation that throws an exception after accidentally replacing the task. In ContactServiceTest.java, lines 60–62 reject invalid first-name edits and confirm that the stored name remains Jacob.</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AppointmentTest.java, lines 45–49, stores a valid appointment, changes the caller’s Date, and checks that the stored timestamp is unchanged. Lines 55–59 repeat that check through the getter. These tests show why technical soundness includes relationships between objects, not just valid constructor arguments. JUnit’s assertThrows and grouped assertions express these expectations directly (Bechtold et al., n.d.).</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also avoids unnecessary setup. TaskServiceTest.java, line 5, defines task(String id), which creates consistent test data without repeating the constructor throughout the class. Lines 67–71 loop over missing and null IDs to check the same operations efficiently. Each test creates its own service, so one test does not depend on a previous test’s changes. AppointmentTest.java, line 7, generates a date one day ahead instead of using a calendar date that will eventually become invalid.</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choices improve maintainability and repeatability. They do not prove runtime efficiency under heavy use. The services use maps for direct ID lookup, but the suite contains no performance benchmarks. A larger application would need separate measurements before making claims about speed or resource consumption.</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Requirements-based black-box testing guided the expected results. For example, the phone requirement calls for exactly 10 digits, so the suite rejects short, long, alphabetic, and non-ASCII digit values. Equivalence partitioning reduces the input space into meaningful groups such as valid text, null text, and excessive length. This approach is useful for forms and APIs, where testing every possible string is impractical.</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Boundary-value testing checks the maximum accepted length and one character beyond it. Task names of 20 characters pass, while 21 characters fail. This targets off-by-one mistakes in field validation. State-based tests check changes over time: add two records, delete one, and confirm that the other remains. That technique helps protect inventory, scheduling, and other applications where one operation must preserve unrelated data.</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White-box coverage analysis complements those behavioral checks by showing which lines and branches executed. Automated regression testing reruns the same assertions after changes. These techniques reveal validation gaps and regressions. They still depend on correct expectations and representative inputs.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System-level integration testing was outside this project because there was no database, network service, or user interface. It would become necessary when connecting these classes to persistence or an API. Load testing would measure behavior under many requests and expose capacity limits. Mutation testing would deliberately alter code to assess whether assertions detect defects. It could reveal weak tests even with full coverage. Exploratory testing would investigate unexpected workflows in a complete application, particularly where users combine actions in ways that scripted unit tests did not anticipate.</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Caution means checking what a successful operation could accidentally damage. The duplicate-ID tests preserve existing objects, while the Date-copy tests examine shared mutable data. The latter shows why a valid constructor alone does not guarantee that an appointment remains protected from outside changes.</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my own code creates a risk of confirmation bias: I may choose inputs that fit my design. Deriving expected values from the written limits and including rejected edits helps limit that risk. Full coverage should not become a reason to stop questioning the tests. Independent review and mutation testing would provide additional challenges to the current assumptions.</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discipline means keeping reproducible checks and addressing failures before delivery. The test script stops on failure and enforces at least 80% line coverage for every application class. To limit technical debt, I would add a regression test for each fixed defect, keep validation rules consistent, and revise tests when requirements change. Skipping those steps could leave future changes dependent on undocumented behavior. The next improvement would be a controllable clock for precise date-boundary tests without timing uncertainty.</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Refrences: </w:t>
      </w:r>
    </w:p>
    <w:p w:rsidR="00000000" w:rsidDel="00000000" w:rsidP="00000000" w:rsidRDefault="00000000" w:rsidRPr="00000000" w14:paraId="0000002D">
      <w:pPr>
        <w:pBdr>
          <w:top w:color="000000" w:space="0" w:sz="0" w:val="none"/>
          <w:left w:color="000000" w:space="-36"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Bechtold, S., Brannen, S., Link, J., Merdes, M., Philipp, M., de Rancourt, J., &amp; Stein, C. (n.d.). </w:t>
      </w:r>
      <w:r w:rsidDel="00000000" w:rsidR="00000000" w:rsidRPr="00000000">
        <w:rPr>
          <w:rFonts w:ascii="Times New Roman" w:cs="Times New Roman" w:eastAsia="Times New Roman" w:hAnsi="Times New Roman"/>
          <w:i w:val="1"/>
          <w:iCs w:val="1"/>
          <w:sz w:val="24"/>
          <w:szCs w:val="24"/>
          <w:rtl w:val="0"/>
        </w:rPr>
        <w:t xml:space="preserve">JUnit 5 user guide</w:t>
      </w:r>
      <w:r w:rsidDel="00000000" w:rsidR="00000000" w:rsidRPr="00000000">
        <w:rPr>
          <w:rFonts w:ascii="Times New Roman" w:cs="Times New Roman" w:eastAsia="Times New Roman" w:hAnsi="Times New Roman"/>
          <w:sz w:val="24"/>
          <w:szCs w:val="24"/>
          <w:rtl w:val="0"/>
        </w:rPr>
        <w:t xml:space="preserve"> (Version 5.10.2). https://docs.junit.org/5.10.2/user-guide/</w:t>
      </w:r>
    </w:p>
    <w:p w:rsidR="00000000" w:rsidDel="00000000" w:rsidP="00000000" w:rsidRDefault="00000000" w:rsidRPr="00000000" w14:paraId="0000002E">
      <w:pPr>
        <w:pBdr>
          <w:top w:color="000000" w:space="0" w:sz="0" w:val="none"/>
          <w:left w:color="000000" w:space="-36"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JaCoCo Team. (n.d.). </w:t>
      </w:r>
      <w:r w:rsidDel="00000000" w:rsidR="00000000" w:rsidRPr="00000000">
        <w:rPr>
          <w:rFonts w:ascii="Times New Roman" w:cs="Times New Roman" w:eastAsia="Times New Roman" w:hAnsi="Times New Roman"/>
          <w:i w:val="1"/>
          <w:iCs w:val="1"/>
          <w:sz w:val="24"/>
          <w:szCs w:val="24"/>
          <w:rtl w:val="0"/>
        </w:rPr>
        <w:t xml:space="preserve">Coverage counters</w:t>
      </w:r>
      <w:r w:rsidDel="00000000" w:rsidR="00000000" w:rsidRPr="00000000">
        <w:rPr>
          <w:rFonts w:ascii="Times New Roman" w:cs="Times New Roman" w:eastAsia="Times New Roman" w:hAnsi="Times New Roman"/>
          <w:sz w:val="24"/>
          <w:szCs w:val="24"/>
          <w:rtl w:val="0"/>
        </w:rPr>
        <w:t xml:space="preserve">. https://www.jacoco.org/jacoco/trunk/doc/counters.html</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