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layfair Display" w:cs="Playfair Display" w:eastAsia="Playfair Display" w:hAnsi="Playfair Display"/>
          <w:b w:val="1"/>
          <w:bCs w:val="1"/>
          <w:color w:val="1f1f1f"/>
          <w:sz w:val="36"/>
          <w:szCs w:val="36"/>
        </w:rPr>
      </w:pPr>
      <w:hyperlink r:id="rId6">
        <w:r w:rsidDel="00000000" w:rsidR="00000000" w:rsidRPr="00000000">
          <w:rPr>
            <w:rFonts w:ascii="Playfair Display" w:cs="Playfair Display" w:eastAsia="Playfair Display" w:hAnsi="Playfair Display"/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Programa PRI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Playfair Display" w:cs="Playfair Display" w:eastAsia="Playfair Display" w:hAnsi="Playfair Display"/>
          <w:i w:val="1"/>
          <w:iCs w:val="1"/>
          <w:color w:val="5a5a5a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i w:val="1"/>
          <w:iCs w:val="1"/>
          <w:color w:val="5a5a5a"/>
          <w:sz w:val="28"/>
          <w:szCs w:val="28"/>
          <w:rtl w:val="0"/>
        </w:rPr>
        <w:t xml:space="preserve">El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5a5a5a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Playfair Display" w:cs="Playfair Display" w:eastAsia="Playfair Display" w:hAnsi="Playfair Display"/>
          <w:i w:val="1"/>
          <w:iCs w:val="1"/>
          <w:color w:val="5a5a5a"/>
          <w:sz w:val="28"/>
          <w:szCs w:val="28"/>
          <w:rtl w:val="0"/>
        </w:rPr>
        <w:t xml:space="preserve">acífico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5a5a5a"/>
          <w:sz w:val="28"/>
          <w:szCs w:val="28"/>
          <w:rtl w:val="0"/>
        </w:rPr>
        <w:t xml:space="preserve">R</w:t>
      </w:r>
      <w:r w:rsidDel="00000000" w:rsidR="00000000" w:rsidRPr="00000000">
        <w:rPr>
          <w:rFonts w:ascii="Playfair Display" w:cs="Playfair Display" w:eastAsia="Playfair Display" w:hAnsi="Playfair Display"/>
          <w:i w:val="1"/>
          <w:iCs w:val="1"/>
          <w:color w:val="5a5a5a"/>
          <w:sz w:val="28"/>
          <w:szCs w:val="28"/>
          <w:rtl w:val="0"/>
        </w:rPr>
        <w:t xml:space="preserve">enaciendo con </w:t>
      </w:r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i w:val="1"/>
          <w:iCs w:val="1"/>
          <w:color w:val="5a5a5a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Playfair Display" w:cs="Playfair Display" w:eastAsia="Playfair Display" w:hAnsi="Playfair Display"/>
          <w:i w:val="1"/>
          <w:iCs w:val="1"/>
          <w:color w:val="5a5a5a"/>
          <w:sz w:val="28"/>
          <w:szCs w:val="28"/>
          <w:rtl w:val="0"/>
        </w:rPr>
        <w:t xml:space="preserve">ngeniería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2c5f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LÍDER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FOCO DE LA INICIATIVA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5f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TERRITORIO</w:t>
            </w:r>
          </w:p>
        </w:tc>
        <w:tc>
          <w:tcPr>
            <w:shd w:fill="2c5f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f4f1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José Luis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Castro Góngora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1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Estudiantes de colegios públicos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1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f1f1f"/>
                <w:sz w:val="24"/>
                <w:szCs w:val="24"/>
                <w:rtl w:val="0"/>
              </w:rPr>
              <w:t xml:space="preserve">San Andrés de Tumaco, Nariño</w:t>
            </w:r>
          </w:p>
        </w:tc>
        <w:tc>
          <w:tcPr>
            <w:shd w:fill="f4f1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Lato" w:cs="Lato" w:eastAsia="Lato" w:hAnsi="Lato"/>
                <w:color w:val="1f1f1f"/>
                <w:sz w:val="24"/>
                <w:szCs w:val="24"/>
                <w:rtl w:val="0"/>
              </w:rPr>
              <w:t xml:space="preserve">Implementación</w:t>
            </w:r>
          </w:p>
        </w:tc>
      </w:tr>
    </w:tbl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jvt055hz3ff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08k6ckp0g86" w:id="1"/>
      <w:bookmarkEnd w:id="1"/>
      <w:r w:rsidDel="00000000" w:rsidR="00000000" w:rsidRPr="00000000">
        <w:rPr>
          <w:rtl w:val="0"/>
        </w:rPr>
        <w:t xml:space="preserve">Problema estratégico</w:t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rtl w:val="0"/>
        </w:rPr>
        <w:t xml:space="preserve">Uno de los factores críticos que agrava la crisis de acceso a la educación superior en San Andrés de Tumaco es la deficiencia estructural en la educación secundaria. Para el año 2024, sólo el 36 % de la población estudiantil logró acceder a educación superior, dejando a la mayoría fuera del sistema productivo profesional. La brecha se manifiesta en las Pruebas Saber 11: el promedio local de 202 puntos evidencia una calidad educativa insuficiente para las exigencias universitarias. El resultado es un efecto dominó: los pocos estudiantes que logran ingresar enfrentan un rigor académico para el que no fueron preparados, disparando la deserción en programas como PEAMA (UNAL) entre el 45 % y el 56 %. Sin una intervención que nivele las competencias básicas y fortalezca la confianza del estudiante, el talento del Pacífico se sigue perdiendo en los primeros semestres.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layfair Display" w:cs="Playfair Display" w:eastAsia="Playfair Display" w:hAnsi="Playfair Display"/>
          <w:b w:val="1"/>
          <w:bCs w:val="1"/>
          <w:color w:val="2c5f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8ggaej2ss8oa" w:id="2"/>
      <w:bookmarkEnd w:id="2"/>
      <w:r w:rsidDel="00000000" w:rsidR="00000000" w:rsidRPr="00000000">
        <w:rPr>
          <w:rtl w:val="0"/>
        </w:rPr>
        <w:t xml:space="preserve">Segmento y dolor prioritario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Acompañamos a estudiantes de 8.° a 11.° de colegios públicos de Tumaco, con escasos recursos económicos, que cargan con rezagos académicos y, a la vez, con la sensación de que la universidad no es para ellos. Son jóvenes para quienes la vida universitaria aparece como un horizonte lejano: percepción de insuficiencia, inseguridad emocional y ausencia de redes que validen su potencial. El dolor más crítico no es solo el vacío de contenidos, es el «esto no es para mí». Segmento estimado: En actualización con la Secretaría, el Programa PRI impacta estratégicamente al 35 % de los estudiantes de Tumaco, enfocándose en los grados 8° a 11° de la zona urbana con mayor vulnerabilidad socioeconómica y rezago en competencias básicas.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644m5021dml0" w:id="3"/>
      <w:bookmarkEnd w:id="3"/>
      <w:r w:rsidDel="00000000" w:rsidR="00000000" w:rsidRPr="00000000">
        <w:rPr>
          <w:rtl w:val="0"/>
        </w:rPr>
        <w:t xml:space="preserve">Propuesta de valor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Para estudiantes de 8.° a 11.° de colegios públicos de Tumaco, que enfrentan rezagos académicos y la sensación de que la universidad no es para ellos, ofrecemos el PROGRAMA-PRI —con 10 docentes de enero a agosto y un intensivo de 4 semanas en junio junto a 17 estudiantes voluntarios— que permite identificar falencias conceptuales mediante sondeos web, nivelar ciencias básicas y motivarlos a soñar incluso fuera de su territorio.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Nos diferenciamos de cursos tradicionales (preuniversitarios o SENA) porque asociamos el soporte emocional con una plataforma digital de puntos canjeables por incentivos (mercados de $200.000 o libretas) que premian su participación activa; además, somos profesionales nativos que superaron las mismas barreras, consolidando una red comunitaria que empodera a las siguientes generaciones.</w:t>
      </w:r>
    </w:p>
    <w:p w:rsidR="00000000" w:rsidDel="00000000" w:rsidP="00000000" w:rsidRDefault="00000000" w:rsidRPr="00000000" w14:paraId="00000018">
      <w:pPr>
        <w:rPr>
          <w:rFonts w:ascii="Playfair Display" w:cs="Playfair Display" w:eastAsia="Playfair Display" w:hAnsi="Playfair Display"/>
          <w:b w:val="1"/>
          <w:bCs w:val="1"/>
          <w:color w:val="2c5f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h9tkdpvr404l" w:id="4"/>
      <w:bookmarkEnd w:id="4"/>
      <w:r w:rsidDel="00000000" w:rsidR="00000000" w:rsidRPr="00000000">
        <w:rPr>
          <w:rtl w:val="0"/>
        </w:rPr>
        <w:t xml:space="preserve">Modelo básico de sostenibilidad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240" w:lineRule="auto"/>
        <w:ind w:left="720" w:hanging="36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Fuentes de financiamiento: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yellow"/>
          <w:rtl w:val="0"/>
        </w:rPr>
        <w:t xml:space="preserve"> El modelo financiero del Programa PRI estima un costo de entre 30 y 40 millones de pesos anuales para cubrir dos cohorte, cuya distribución porcentual exacta entre fuentes de RSE, subsidios públicos y cooperación internacional está por definirse debido a que la iniciativa se encuentra en fase de diseño conceptual.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Aliados clave: Efecto  para la movilización comunitaria, la Universidad Nacional Sede Tumaco para infraestructura física y el voluntariado interdisciplinario entre sede Tumaco y Bogotá (Estudiantes de ingeniería y trabajo social) que reduce costos operativos.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lineRule="auto"/>
        <w:ind w:left="720" w:hanging="360"/>
        <w:jc w:val="left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Supuesto crítico: El modelo depende de la capacidad de gestión para asegurar el transporte y manutención de los mentores universitarios hacia Tumaco durante los periodos intersemestrales.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vidhzju6q989" w:id="5"/>
      <w:bookmarkEnd w:id="5"/>
      <w:r w:rsidDel="00000000" w:rsidR="00000000" w:rsidRPr="00000000">
        <w:rPr>
          <w:rtl w:val="0"/>
        </w:rPr>
        <w:t xml:space="preserve">Modelo de impacto (horizonte 6 a 12 meses)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90.0" w:type="dxa"/>
        <w:jc w:val="left"/>
        <w:tblInd w:w="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15"/>
        <w:gridCol w:w="3210"/>
        <w:gridCol w:w="3465"/>
        <w:tblGridChange w:id="0">
          <w:tblGrid>
            <w:gridCol w:w="3315"/>
            <w:gridCol w:w="3210"/>
            <w:gridCol w:w="3465"/>
          </w:tblGrid>
        </w:tblGridChange>
      </w:tblGrid>
      <w:tr>
        <w:trPr>
          <w:cantSplit w:val="0"/>
          <w:tblHeader w:val="0"/>
        </w:trPr>
        <w:tc>
          <w:tcPr>
            <w:shd w:fill="2c5f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Resultado esperado</w:t>
            </w:r>
          </w:p>
        </w:tc>
        <w:tc>
          <w:tcPr>
            <w:shd w:fill="2c5f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clave</w:t>
            </w:r>
          </w:p>
        </w:tc>
        <w:tc>
          <w:tcPr>
            <w:shd w:fill="2c5f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Meta inicial (6 a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24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 meses)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5" w:val="single"/>
              <w:bottom w:color="000000" w:space="0" w:sz="15" w:val="single"/>
              <w:right w:color="000000" w:space="0" w:sz="1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right="-113.30708661417304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Más jóvenes de 11° accediendo a la vida universitaria.</w:t>
            </w:r>
          </w:p>
          <w:p w:rsidR="00000000" w:rsidDel="00000000" w:rsidP="00000000" w:rsidRDefault="00000000" w:rsidRPr="00000000" w14:paraId="00000023">
            <w:pPr>
              <w:ind w:right="-18.425196850393775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Jóvenes con una red comunitaria de conocimientos, herramientas y habilidades.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5" w:val="single"/>
              <w:right w:color="000000" w:space="0" w:sz="1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right="-113.30708661417304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Aumentar 36% el tránsito estudiantil a la vida universitaria de 773 personas a más personas.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5" w:val="single"/>
              <w:right w:color="000000" w:space="0" w:sz="1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right="86.69291338582752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Alcanzar un 50% en la tasa de tránsito a la vida universitaria para el 2028. Es decir,  1006 personas ingresen preparadas. </w:t>
            </w:r>
          </w:p>
          <w:p w:rsidR="00000000" w:rsidDel="00000000" w:rsidP="00000000" w:rsidRDefault="00000000" w:rsidRPr="00000000" w14:paraId="00000026">
            <w:pPr>
              <w:ind w:right="-113.30708661417304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5" w:val="single"/>
              <w:bottom w:color="000000" w:space="0" w:sz="15" w:val="single"/>
              <w:right w:color="000000" w:space="0" w:sz="1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right="-113.30708661417304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Reducción de brecha académica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5" w:val="single"/>
              <w:right w:color="000000" w:space="0" w:sz="1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ind w:right="23.622047244094233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Porcentaje de mejora en el pre-test  y post-test, intervención por medio del sitio web donde se analizan los resultados del PROGRAMA-PRI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5" w:val="single"/>
              <w:right w:color="000000" w:space="0" w:sz="1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ind w:right="-113.30708661417304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25% de incremento en puntajes de la prueba ICFES.</w:t>
            </w:r>
          </w:p>
          <w:p w:rsidR="00000000" w:rsidDel="00000000" w:rsidP="00000000" w:rsidRDefault="00000000" w:rsidRPr="00000000" w14:paraId="0000002A">
            <w:pPr>
              <w:ind w:right="-113.30708661417304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15" w:val="single"/>
              <w:bottom w:color="000000" w:space="0" w:sz="15" w:val="single"/>
              <w:right w:color="000000" w:space="0" w:sz="1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right="-113.30708661417304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Alcance comunitario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5" w:val="single"/>
              <w:right w:color="000000" w:space="0" w:sz="1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ind w:right="23.622047244094233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Número de estudiantes certificados en el 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5" w:val="single"/>
              <w:right w:color="000000" w:space="0" w:sz="1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ind w:right="-113.30708661417304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30 estudiantes por  grado escolar (90 estudiantes), que completen el programa completo de 4 niveles, 8 ciclos.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>
          <w:rFonts w:ascii="Playfair Display" w:cs="Playfair Display" w:eastAsia="Playfair Display" w:hAnsi="Playfair Display"/>
          <w:b w:val="1"/>
          <w:bCs w:val="1"/>
          <w:color w:val="2c5f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lkxs1y5c45kt" w:id="6"/>
      <w:bookmarkEnd w:id="6"/>
      <w:r w:rsidDel="00000000" w:rsidR="00000000" w:rsidRPr="00000000">
        <w:rPr>
          <w:rtl w:val="0"/>
        </w:rPr>
        <w:t xml:space="preserve">Pitch ejecutivo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Las corrientes marítimas del Pacífico me trajeron desde Tumaco hasta acá: soy parte de ese 36 % que sí logró cruzar a la universidad. El problema no es que falten ganas, es que el colegio público no alcanza a </w:t>
      </w:r>
      <w:r w:rsidDel="00000000" w:rsidR="00000000" w:rsidRPr="00000000">
        <w:rPr>
          <w:rtl w:val="0"/>
        </w:rPr>
        <w:t xml:space="preserve">preparar</w:t>
      </w:r>
      <w:r w:rsidDel="00000000" w:rsidR="00000000" w:rsidRPr="00000000">
        <w:rPr>
          <w:rtl w:val="0"/>
        </w:rPr>
        <w:t xml:space="preserve">, 202 puntos promedio en Saber 11 lo dicen claro. PROGRAMA-PRI es una inmersión de 4 semanas que cierra esa brecha con ciencias básicas, pensamiento crítico y acompañamiento emocional, liderada por profesionales del mismo Pacífico. Tenemos metodología, voluntarios y datos. Ayúdennos a que el Pacífico no solo renazca, sino que se construya con ingeniería propia.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800" w:top="80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1f1f1f"/>
        <w:sz w:val="22"/>
        <w:szCs w:val="22"/>
        <w:lang w:val="es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Playfair Display" w:cs="Playfair Display" w:eastAsia="Playfair Display" w:hAnsi="Playfair Display"/>
      <w:b w:val="1"/>
      <w:bCs w:val="1"/>
      <w:color w:val="2c5f4f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jcastro26.github.io/programa-pri/" TargetMode="Externa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