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RegWatch — CDC — Extraits §10 et §11</w:t>
      </w:r>
    </w:p>
    <w:bookmarkStart w:id="12" w:name="regwatch-cahier-des-charges-v1.2"/>
    <w:p>
      <w:pPr>
        <w:pStyle w:val="Heading1"/>
      </w:pPr>
      <w:r>
        <w:t xml:space="preserve">RegWatch — Cahier des charges (v1.2)</w:t>
      </w:r>
    </w:p>
    <w:bookmarkStart w:id="9" w:name="X497e873e4a96a9cb18910df49dccac1e1ab11bf"/>
    <w:p>
      <w:pPr>
        <w:pStyle w:val="Heading3"/>
      </w:pPr>
      <w:r>
        <w:t xml:space="preserve">Extraits — §10 Risques et points d’attention · §11 Annexe (couverture du prototype)</w:t>
      </w:r>
    </w:p>
    <w:bookmarkEnd w:id="9"/>
    <w:bookmarkStart w:id="10" w:name="risques-et-points-dattention"/>
    <w:p>
      <w:pPr>
        <w:pStyle w:val="Heading2"/>
      </w:pPr>
      <w:r>
        <w:t xml:space="preserve">10. Risques et points d’attention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Risque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Sites d’autorités hétérogènes / sans RSS, scraping fragile</w:t>
            </w:r>
          </w:p>
        </w:tc>
        <w:tc>
          <w:tcPr/>
          <w:p>
            <w:pPr>
              <w:pStyle w:val="Compact"/>
            </w:pPr>
            <w:r>
              <w:t xml:space="preserve">Trous de collecte</w:t>
            </w:r>
          </w:p>
        </w:tc>
        <w:tc>
          <w:tcPr/>
          <w:p>
            <w:pPr>
              <w:pStyle w:val="Compact"/>
            </w:pPr>
            <w:r>
              <w:t xml:space="preserve">Registre de sources avec état de santé ; fallback recherche web ; la validation humaine reste le filet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Qualité IA (faux positifs, mauvais pays)</w:t>
            </w:r>
          </w:p>
        </w:tc>
        <w:tc>
          <w:tcPr/>
          <w:p>
            <w:pPr>
              <w:pStyle w:val="Compact"/>
            </w:pPr>
            <w:r>
              <w:t xml:space="preserve">Bruit dans la file</w:t>
            </w:r>
          </w:p>
        </w:tc>
        <w:tc>
          <w:tcPr/>
          <w:p>
            <w:pPr>
              <w:pStyle w:val="Compact"/>
            </w:pPr>
            <w:r>
              <w:t xml:space="preserve">Score de confiance, règles de routage simples, feedback de rejet réinjecté dans les prompts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Langues sources (23+)</w:t>
            </w:r>
          </w:p>
        </w:tc>
        <w:tc>
          <w:tcPr/>
          <w:p>
            <w:pPr>
              <w:pStyle w:val="Compact"/>
            </w:pPr>
            <w:r>
              <w:t xml:space="preserve">Résumés inexacts</w:t>
            </w:r>
          </w:p>
        </w:tc>
        <w:tc>
          <w:tcPr/>
          <w:p>
            <w:pPr>
              <w:pStyle w:val="Compact"/>
            </w:pPr>
            <w:r>
              <w:t xml:space="preserve">LLM multilingues + lien systématique vers la source originale pour vérification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Adoption (retour à l’Excel)</w:t>
            </w:r>
          </w:p>
        </w:tc>
        <w:tc>
          <w:tcPr/>
          <w:p>
            <w:pPr>
              <w:pStyle w:val="Compact"/>
            </w:pPr>
            <w:r>
              <w:t xml:space="preserve">Outil mort</w:t>
            </w:r>
          </w:p>
        </w:tc>
        <w:tc>
          <w:tcPr/>
          <w:p>
            <w:pPr>
              <w:pStyle w:val="Compact"/>
            </w:pPr>
            <w:r>
              <w:t xml:space="preserve">Exports = ce que les équipes produisent déjà ; import initial complet pour être utile dès le jour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Informations non publiques saisies à la main</w:t>
            </w:r>
          </w:p>
        </w:tc>
        <w:tc>
          <w:tcPr/>
          <w:p>
            <w:pPr>
              <w:pStyle w:val="Compact"/>
            </w:pPr>
            <w:r>
              <w:t xml:space="preserve">Fuite</w:t>
            </w:r>
          </w:p>
        </w:tc>
        <w:tc>
          <w:tcPr/>
          <w:p>
            <w:pPr>
              <w:pStyle w:val="Compact"/>
            </w:pPr>
            <w:r>
              <w:t xml:space="preserve">Flag « interne », visibilité restreinte aux validateurs, revue avant toute diffusion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Dépendance à un fournisseur IA</w:t>
            </w:r>
          </w:p>
        </w:tc>
        <w:tc>
          <w:tcPr/>
          <w:p>
            <w:pPr>
              <w:pStyle w:val="Compact"/>
            </w:pPr>
            <w:r>
              <w:t xml:space="preserve">Blocage</w:t>
            </w:r>
          </w:p>
        </w:tc>
        <w:tc>
          <w:tcPr/>
          <w:p>
            <w:pPr>
              <w:pStyle w:val="Compact"/>
            </w:pPr>
            <w:r>
              <w:t xml:space="preserve">Interface IA pluggable (cf. §5.3) — Mistral aujourd’hui, remplaçable sans refonte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Divergences entre sources internes (ex. délais du classeur KPI vs decks WATCH)</w:t>
            </w:r>
          </w:p>
        </w:tc>
        <w:tc>
          <w:tcPr/>
          <w:p>
            <w:pPr>
              <w:pStyle w:val="Compact"/>
            </w:pPr>
            <w:r>
              <w:t xml:space="preserve">Incohérences</w:t>
            </w:r>
          </w:p>
        </w:tc>
        <w:tc>
          <w:tcPr/>
          <w:p>
            <w:pPr>
              <w:pStyle w:val="Compact"/>
            </w:pPr>
            <w:r>
              <w:t xml:space="preserve">Règle « le document le plus récent fait foi », champ « dernière mise à jour » visible sur chaque fiche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de collecte jamais exécuté en production réelle</w:t>
            </w:r>
          </w:p>
        </w:tc>
        <w:tc>
          <w:tcPr/>
          <w:p>
            <w:pPr>
              <w:pStyle w:val="Compact"/>
            </w:pPr>
            <w:r>
              <w:t xml:space="preserve">Fiabilité et volumétrie réelles inconnues au moment du cadrage</w:t>
            </w:r>
          </w:p>
        </w:tc>
        <w:tc>
          <w:tcPr/>
          <w:p>
            <w:pPr>
              <w:pStyle w:val="Compact"/>
            </w:pPr>
            <w:r>
              <w:t xml:space="preserve">Phase de test en parallèle (agent alimente la file de validation RegWatch pendant plusieurs semaines, Excel actuel conservé en secours) avant toute coupure de l’ancien processus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Connaissance de l’agent concentrée sur un seul stagiaire (encore présent à ce jour)</w:t>
            </w:r>
          </w:p>
        </w:tc>
        <w:tc>
          <w:tcPr/>
          <w:p>
            <w:pPr>
              <w:pStyle w:val="Compact"/>
            </w:pPr>
            <w:r>
              <w:t xml:space="preserve">Risque classique de perte de connaissance si le stagiaire part avant la passation</w:t>
            </w:r>
          </w:p>
        </w:tc>
        <w:tc>
          <w:tcPr/>
          <w:p>
            <w:pPr>
              <w:pStyle w:val="Compact"/>
            </w:pPr>
            <w:r>
              <w:t xml:space="preserve">Documenter le fonctionnement de l’agent et faire la passation technique</w:t>
            </w:r>
            <w:r>
              <w:t xml:space="preserve"> </w:t>
            </w:r>
            <w:r>
              <w:rPr>
                <w:b/>
                <w:bCs/>
              </w:rPr>
              <w:t xml:space="preserve">pendant que le stagiaire est disponible</w:t>
            </w:r>
            <w:r>
              <w:t xml:space="preserve"> </w:t>
            </w:r>
            <w:r>
              <w:t xml:space="preserve">— priorité avant tout autre chantier V1.5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Sortie actuelle de l’agent = écriture directe en Excel, sans porte de validation humaine</w:t>
            </w:r>
          </w:p>
        </w:tc>
        <w:tc>
          <w:tcPr/>
          <w:p>
            <w:pPr>
              <w:pStyle w:val="Compact"/>
            </w:pPr>
            <w:r>
              <w:t xml:space="preserve">Contredit l’exigence de validation obligatoire avant publication (§1.2) si l’agent est branché tel quel</w:t>
            </w:r>
          </w:p>
        </w:tc>
        <w:tc>
          <w:tcPr/>
          <w:p>
            <w:pPr>
              <w:pStyle w:val="Compact"/>
            </w:pPr>
            <w:r>
              <w:t xml:space="preserve">Adapter impérativement la sortie de l’agent pour alimenter la file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de RegWatch avant toute mise en production (cf. §5.3) — ne jamais autoriser une écriture directe sur une fiche pays</w:t>
            </w:r>
          </w:p>
        </w:tc>
      </w:tr>
    </w:tbl>
    <w:bookmarkEnd w:id="10"/>
    <w:bookmarkStart w:id="11" w:name="annexe-couverture-du-prototype-livré"/>
    <w:p>
      <w:pPr>
        <w:pStyle w:val="Heading2"/>
      </w:pPr>
      <w:r>
        <w:t xml:space="preserve">11. Annexe — couverture du prototype livré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Exigence</w:t>
            </w:r>
          </w:p>
        </w:tc>
        <w:tc>
          <w:tcPr/>
          <w:p>
            <w:pPr>
              <w:pStyle w:val="Compact"/>
            </w:pPr>
            <w:r>
              <w:t xml:space="preserve">Statut dans le prototype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Carte maturité 1–4 + non-UE suivis (UK, NO)</w:t>
            </w:r>
          </w:p>
        </w:tc>
        <w:tc>
          <w:tcPr/>
          <w:p>
            <w:pPr>
              <w:pStyle w:val="Compact"/>
            </w:pPr>
            <w:r>
              <w:t xml:space="preserve">✅ interactive, export PNG, thèmes clair/sombre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 fiches pays complètes (données réelles juin–juillet 2026)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Chronologies d’événements par pays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Rôles lecteur/validateur</w:t>
            </w:r>
          </w:p>
        </w:tc>
        <w:tc>
          <w:tcPr/>
          <w:p>
            <w:pPr>
              <w:pStyle w:val="Compact"/>
            </w:pPr>
            <w:r>
              <w:t xml:space="preserve">✅ (sélecteur en en-tête ; SSO en production)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de validation + saisie manuelle + traçabilité</w:t>
            </w:r>
          </w:p>
        </w:tc>
        <w:tc>
          <w:tcPr/>
          <w:p>
            <w:pPr>
              <w:pStyle w:val="Compact"/>
            </w:pPr>
            <w:r>
              <w:t xml:space="preserve">✅ (persistance locale navigateur, simulée)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Édition manuelle complète des fiches (statut, KPIs, rubriques, chronologie, autorités, sources)</w:t>
            </w:r>
          </w:p>
        </w:tc>
        <w:tc>
          <w:tcPr/>
          <w:p>
            <w:pPr>
              <w:pStyle w:val="Compact"/>
            </w:pPr>
            <w:r>
              <w:t xml:space="preserve">✅ (bouton « Edit record » en mode validateur ; marqueur « edited » ; retour aux données importées possible)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KPIs, graphiques EE/IE et retards, export CSV « ; »</w:t>
            </w:r>
          </w:p>
        </w:tc>
        <w:tc>
          <w:tcPr/>
          <w:p>
            <w:pPr>
              <w:pStyle w:val="Compact"/>
            </w:pPr>
            <w:r>
              <w:t xml:space="preserve">✅ (matrice avec toutes les colonnes du classeur KPI)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Registre des sources typées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Multi-réglementations</w:t>
            </w:r>
          </w:p>
        </w:tc>
        <w:tc>
          <w:tcPr/>
          <w:p>
            <w:pPr>
              <w:pStyle w:val="Compact"/>
            </w:pPr>
            <w:r>
              <w:t xml:space="preserve">✅ maquetté (onglets DORA/CER/CRA « planned », modèle générique)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Intégration de l’agent de collecte existant (branchement sur la file de validation, mapping des champs), notifications, XLSX/PPTX</w:t>
            </w:r>
          </w:p>
        </w:tc>
        <w:tc>
          <w:tcPr/>
          <w:p>
            <w:pPr>
              <w:pStyle w:val="Compact"/>
            </w:pPr>
            <w:r>
              <w:t xml:space="preserve">❌ V1.5/V2 (cf. roadmap §9 — travail d’intégration, la brique collecte + IA existe déjà)</w:t>
            </w:r>
          </w:p>
        </w:tc>
      </w:tr>
    </w:tbl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RegWatch — CDC — Extraits §10 et §11</dc:title>
  <dc:creator/>
  <cp:keywords/>
  <dcterms:created xsi:type="dcterms:W3CDTF">2026-07-20T11:47:05Z</dcterms:created>
  <dcterms:modified xsi:type="dcterms:W3CDTF">2026-07-20T11:47:05Z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