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after="240"/>
        <w:ind w:left="259" w:right="259" w:firstLine="0"/>
        <w:numPr>
          <w:ilvl w:val="0"/>
          <w:numId w:val="0"/>
        </w:numPr>
        <w:shd w:fill="EEF5F2"/>
      </w:pPr>
      <w:r>
        <w:rPr>
          <w:rFonts w:ascii="Calibri" w:hAnsi="Calibri" w:eastAsia="Calibri"/>
          <w:color w:val="17241E"/>
          <w:sz w:val="22"/>
        </w:rPr>
        <w:t>The C2 platform cannot talk directly to “a drone” in the abstract. It needs a physical communications path, a protocol endpoint, and an adapter that converts that protocol into the C2’s internal vehicle model.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For a MAVLink drone, the minimum chain is: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MERMAID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flowchart LR</w:t>
              <w:br/>
              <w:t xml:space="preserve">    FC["Flight controller&lt;br/&gt;PX4 / ArduPilot"]</w:t>
              <w:br/>
              <w:t xml:space="preserve">    AR["Air telemetry radio&lt;br/&gt;or IP modem"]</w:t>
              <w:br/>
              <w:t xml:space="preserve">    GR["Ground radio / network endpoint"]</w:t>
              <w:br/>
              <w:t xml:space="preserve">    GW["Edge gateway&lt;br/&gt;MAVLink adapter"]</w:t>
              <w:br/>
              <w:t xml:space="preserve">    C2["C2 platform"]</w:t>
              <w:br/>
              <w:br/>
              <w:t xml:space="preserve">    FC --&gt;|"UART / Ethernet&lt;br/&gt;MAVLink"| AR</w:t>
              <w:br/>
              <w:t xml:space="preserve">    AR &lt;--&gt;|"RF / LTE / mesh / Wi-Fi"| GR</w:t>
              <w:br/>
              <w:t xml:space="preserve">    GR --&gt;|"USB / Ethernet / UDP"| GW</w:t>
              <w:br/>
              <w:t xml:space="preserve">    GW &lt;--&gt;|"Normalized telemetry&lt;br/&gt;authorized commands"| C2</w:t>
            </w:r>
          </w:p>
        </w:tc>
      </w:tr>
    </w:tbl>
    <w:p>
      <w:pPr>
        <w:spacing w:after="20" w:before="0"/>
      </w:pPr>
    </w:p>
    <w:p>
      <w:pPr>
        <w:pStyle w:val="Heading1"/>
        <w:keepNext/>
      </w:pPr>
      <w:r>
        <w:rPr>
          <w:rFonts w:ascii="Calibri" w:hAnsi="Calibri" w:eastAsia="Calibri"/>
          <w:color w:val="105445"/>
          <w:sz w:val="32"/>
        </w:rPr>
        <w:t>What hardware is actually required?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Minimal MAVLink configuration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On the drone: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Flight controller such as a Pixhawk-class controller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PX4 or ArduPilot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GPS, IMU, compass and other flight sensors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Air-side telemetry radio or IP modem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Antenna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Appropriate power supply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Optional RC receiver for manual backup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On the ground: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Matching ground-side radio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USB, serial or Ethernet connection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Laptop or edge computer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MAVLink adapter or ground-control application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C2 application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This can work without a companion computer. PX4 documents </w:t>
      </w:r>
      <w:r>
        <w:rPr>
          <w:rFonts w:ascii="Consolas" w:hAnsi="Consolas" w:eastAsia="Consolas"/>
          <w:color w:val="105445"/>
          <w:sz w:val="21"/>
          <w:shd w:fill="EEF5F2"/>
        </w:rPr>
        <w:t>TELEM1</w:t>
      </w:r>
      <w:r>
        <w:rPr>
          <w:rFonts w:ascii="Calibri" w:hAnsi="Calibri" w:eastAsia="Calibri"/>
          <w:color w:val="17241E"/>
          <w:sz w:val="22"/>
        </w:rPr>
        <w:t xml:space="preserve"> as the usual telemetry-radio connection and </w:t>
      </w:r>
      <w:r>
        <w:rPr>
          <w:rFonts w:ascii="Consolas" w:hAnsi="Consolas" w:eastAsia="Consolas"/>
          <w:color w:val="105445"/>
          <w:sz w:val="21"/>
          <w:shd w:fill="EEF5F2"/>
        </w:rPr>
        <w:t>TELEM2</w:t>
      </w:r>
      <w:r>
        <w:rPr>
          <w:rFonts w:ascii="Calibri" w:hAnsi="Calibri" w:eastAsia="Calibri"/>
          <w:color w:val="17241E"/>
          <w:sz w:val="22"/>
        </w:rPr>
        <w:t xml:space="preserve"> as the usual companion-computer connection. </w:t>
      </w:r>
      <w:hyperlink r:id="rId10">
        <w:r>
          <w:rPr>
            <w:rFonts w:ascii="Calibri" w:hAnsi="Calibri"/>
            <w:color w:val="105445"/>
            <w:u w:val="single"/>
          </w:rPr>
          <w:t>PX4 architecture</w:t>
        </w:r>
      </w:hyperlink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Production-style configuration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A more established autonomous/C2 product normally uses: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MERMAID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flowchart LR</w:t>
              <w:br/>
              <w:t xml:space="preserve">    subgraph UAV["On the UAV"]</w:t>
              <w:br/>
              <w:t xml:space="preserve">        FC["Safety-critical&lt;br/&gt;flight controller"]</w:t>
              <w:br/>
              <w:t xml:space="preserve">        MC["Linux mission/&lt;br/&gt;companion computer"]</w:t>
              <w:br/>
              <w:t xml:space="preserve">        DL["IP data-link radio,&lt;br/&gt;LTE or mesh modem"]</w:t>
              <w:br/>
              <w:t xml:space="preserve">        P["EO/IR or other payload"]</w:t>
              <w:br/>
              <w:t xml:space="preserve">        FC &lt;--&gt;|"MAVLink / DDS&lt;br/&gt;serial or Ethernet"| MC</w:t>
              <w:br/>
              <w:t xml:space="preserve">        P &lt;--&gt;|"Ethernet / USB / CAN"| MC</w:t>
              <w:br/>
              <w:t xml:space="preserve">        MC &lt;--&gt; DL</w:t>
              <w:br/>
              <w:t xml:space="preserve">    end</w:t>
              <w:br/>
              <w:br/>
              <w:t xml:space="preserve">    subgraph Ground["On the ground"]</w:t>
              <w:br/>
              <w:t xml:space="preserve">        GD["Ground radio/modem"]</w:t>
              <w:br/>
              <w:t xml:space="preserve">        EC["Rugged edge computer"]</w:t>
              <w:br/>
              <w:t xml:space="preserve">        UI["Operator laptop/tablet"]</w:t>
              <w:br/>
              <w:t xml:space="preserve">        GD &lt;--&gt; EC</w:t>
              <w:br/>
              <w:t xml:space="preserve">        EC &lt;--&gt; UI</w:t>
              <w:br/>
              <w:t xml:space="preserve">    end</w:t>
              <w:br/>
              <w:br/>
              <w:t xml:space="preserve">    DL &lt;--&gt;|"Encrypted IP link"| GD</w:t>
            </w:r>
          </w:p>
        </w:tc>
      </w:tr>
    </w:tbl>
    <w:p>
      <w:pPr>
        <w:spacing w:after="20" w:before="0"/>
      </w:pP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The flight controller retains responsibility for stable flight and safety. The companion computer handles: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C2 connectivity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MAVLink routing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Payload control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Video encoding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Computer vision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Autonomous mission logic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Store-and-forward operation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Communications failover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Vendor adapter containers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PX4 explicitly recommends a companion computer when advanced processing is needed. It normally runs Linux and connects to the flight controller through serial or Ethernet using MAVLink or DDS. </w:t>
      </w:r>
      <w:hyperlink r:id="rId11">
        <w:r>
          <w:rPr>
            <w:rFonts w:ascii="Calibri" w:hAnsi="Calibri"/>
            <w:color w:val="105445"/>
            <w:u w:val="single"/>
          </w:rPr>
          <w:t>PX4 companion-computer architecture</w:t>
        </w:r>
      </w:hyperlink>
    </w:p>
    <w:p>
      <w:pPr>
        <w:pStyle w:val="Heading1"/>
        <w:keepNext/>
      </w:pPr>
      <w:r>
        <w:rPr>
          <w:rFonts w:ascii="Calibri" w:hAnsi="Calibri" w:eastAsia="Calibri"/>
          <w:color w:val="105445"/>
          <w:sz w:val="32"/>
        </w:rPr>
        <w:t>Examples from established products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Auterion Skynode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Skynode combines much of the vehicle integration stack: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PX4 flight controller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Linux mission computer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Ethernet, CAN and serial interfaces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Camera/video processing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LTE and radio connectivity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MAVLink interface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Ground-control software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Auterion Mission Control can discover a connected Skynode over USB networking, Wi-Fi or LTE. Their USB connection presents Skynode as a network device and uses DHCP before the ground application automatically discovers the vehicle. </w:t>
      </w:r>
      <w:hyperlink r:id="rId12">
        <w:r>
          <w:rPr>
            <w:rFonts w:ascii="Calibri" w:hAnsi="Calibri"/>
            <w:color w:val="105445"/>
            <w:u w:val="single"/>
          </w:rPr>
          <w:t>Auterion connection documentation</w:t>
        </w:r>
      </w:hyperlink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This is an integrated commercial version of: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TEXT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Pixhawk + companion computer + MAVLink router + modem + managed software</w:t>
            </w:r>
          </w:p>
        </w:tc>
      </w:tr>
    </w:tbl>
    <w:p>
      <w:pPr>
        <w:spacing w:after="20" w:before="0"/>
      </w:pP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Picogrid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Picogrid illustrates the ground-side integration appliance model: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Legion is its integration/data platform.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Helios and related expeditionary nodes supply field power, communications and edge compute.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Sensors and unmanned platforms connect locally to the node.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The node translates and distributes their data to C2 systems.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Picogrid describes Helios as bringing compute and communications to the tactical edge, while Legion provides the common interface. </w:t>
      </w:r>
      <w:hyperlink r:id="rId13">
        <w:r>
          <w:rPr>
            <w:rFonts w:ascii="Calibri" w:hAnsi="Calibri"/>
            <w:color w:val="105445"/>
            <w:u w:val="single"/>
          </w:rPr>
          <w:t>Picogrid architecture</w:t>
        </w:r>
      </w:hyperlink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Anduril Lattice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Lattice deployments use distributed tactical edge computers hosting the integration software near sensors, vehicles and command posts. The hardware-specific system talks to a local Lattice integration, and Lattice distributes the normalized state over its data mesh. Its public SDK exposes gRPC and REST interfaces. </w:t>
      </w:r>
      <w:hyperlink r:id="rId14">
        <w:r>
          <w:rPr>
            <w:rFonts w:ascii="Calibri" w:hAnsi="Calibri"/>
            <w:color w:val="105445"/>
            <w:u w:val="single"/>
          </w:rPr>
          <w:t>Lattice SDK</w:t>
        </w:r>
      </w:hyperlink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The important pattern is that Lattice does not require every drone to speak the Lattice data model natively. An integration component translates the drone’s native protocol.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Surtr ParallaxOS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Surtr does not publish a detailed hardware specification. Reporting describes its current deliverable as an edge-compute unit with ParallaxOS installed. Sensors connect to that unit through standards or vendor APIs.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Publicly confirmed Surtr interfaces are: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SAPIENT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Link 16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Cursor-on-Target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ATAK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Custom vendor APIs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MAVLink remains plausible but publicly unconfirmed.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In practical terms, ParallaxOS probably requires: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 computer capable of running its software at the site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Ethernet or serial connectivity to sensors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 receiver or modem for any wireless sensors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Network access to the upstream C2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Vendor adapters for each connected system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Accurate sensor location, orientation and time configuration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It does not eliminate the physical sensor receiver, drone modem or ground radio.</w:t>
      </w:r>
    </w:p>
    <w:p>
      <w:pPr>
        <w:pStyle w:val="Heading1"/>
        <w:keepNext/>
      </w:pPr>
      <w:r>
        <w:rPr>
          <w:rFonts w:ascii="Calibri" w:hAnsi="Calibri" w:eastAsia="Calibri"/>
          <w:color w:val="105445"/>
          <w:sz w:val="32"/>
        </w:rPr>
        <w:t>The MAVLink handshake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Importantly, pairing the radios is not part of MAVLink. The radio or IP network must first establish connectivity.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Stage 1: physical and network connection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The two endpoints first establish a transport: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 paired telemetry-radio link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Ethernet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Wi-Fi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LTE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Tactical mesh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Serial cable during bench testing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The ground edge computer then receives MAVLink through something such as: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TEXT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COM5 at 57600 or 921600 baud</w:t>
              <w:br/>
              <w:t>UDP 0.0.0.0:14550</w:t>
              <w:br/>
              <w:t>TCP vehicle-address:5760</w:t>
              <w:br/>
              <w:t>Ethernet interface</w:t>
            </w:r>
          </w:p>
        </w:tc>
      </w:tr>
    </w:tbl>
    <w:p>
      <w:pPr>
        <w:spacing w:after="20" w:before="0"/>
      </w:pP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A MAVLink router can forward the same vehicle stream to Sentinel, a local pilot station and a recorder simultaneously.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Stage 2: vehicle discovery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The autopilot broadcasts </w:t>
      </w:r>
      <w:r>
        <w:rPr>
          <w:rFonts w:ascii="Consolas" w:hAnsi="Consolas" w:eastAsia="Consolas"/>
          <w:color w:val="105445"/>
          <w:sz w:val="21"/>
          <w:shd w:fill="EEF5F2"/>
        </w:rPr>
        <w:t>HEARTBEAT</w:t>
      </w:r>
      <w:r>
        <w:rPr>
          <w:rFonts w:ascii="Calibri" w:hAnsi="Calibri" w:eastAsia="Calibri"/>
          <w:color w:val="17241E"/>
          <w:sz w:val="22"/>
        </w:rPr>
        <w:t xml:space="preserve"> messages.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A heartbeat supplies: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System ID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Component ID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Vehicle type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Autopilot family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Flight mode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Armed/disarmed flags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Vehicle state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On ordinary RF telemetry links, heartbeats are commonly transmitted around once per second. Missing several heartbeats indicates that the connection has been lost. </w:t>
      </w:r>
      <w:hyperlink r:id="rId15">
        <w:r>
          <w:rPr>
            <w:rFonts w:ascii="Calibri" w:hAnsi="Calibri"/>
            <w:color w:val="105445"/>
            <w:u w:val="single"/>
          </w:rPr>
          <w:t>MAVLink heartbeat specification</w:t>
        </w:r>
      </w:hyperlink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Sentinel’s MAVLink adapter would see: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TEXT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HEARTBEAT</w:t>
              <w:br/>
              <w:t>sysid: 14</w:t>
              <w:br/>
              <w:t>compid: 1</w:t>
              <w:br/>
              <w:t>type: QUADROTOR</w:t>
              <w:br/>
              <w:t>autopilot: PX4</w:t>
              <w:br/>
              <w:t>mode: HOLD</w:t>
              <w:br/>
              <w:t>state: STANDBY</w:t>
            </w:r>
          </w:p>
        </w:tc>
      </w:tr>
    </w:tbl>
    <w:p>
      <w:pPr>
        <w:spacing w:after="20" w:before="0"/>
      </w:pP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It should then map </w:t>
      </w:r>
      <w:r>
        <w:rPr>
          <w:rFonts w:ascii="Consolas" w:hAnsi="Consolas" w:eastAsia="Consolas"/>
          <w:color w:val="105445"/>
          <w:sz w:val="21"/>
          <w:shd w:fill="EEF5F2"/>
        </w:rPr>
        <w:t>sysid=14</w:t>
      </w:r>
      <w:r>
        <w:rPr>
          <w:rFonts w:ascii="Calibri" w:hAnsi="Calibri" w:eastAsia="Calibri"/>
          <w:color w:val="17241E"/>
          <w:sz w:val="22"/>
        </w:rPr>
        <w:t xml:space="preserve"> to a durable Sentinel vehicle identity. A MAVLink system ID alone is not a sufficient enterprise identity because it can be reconfigured or duplicated.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Stage 3: version and capability discovery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The adapter requests </w:t>
      </w:r>
      <w:r>
        <w:rPr>
          <w:rFonts w:ascii="Consolas" w:hAnsi="Consolas" w:eastAsia="Consolas"/>
          <w:color w:val="105445"/>
          <w:sz w:val="21"/>
          <w:shd w:fill="EEF5F2"/>
        </w:rPr>
        <w:t>AUTOPILOT_VERSION</w:t>
      </w:r>
      <w:r>
        <w:rPr>
          <w:rFonts w:ascii="Calibri" w:hAnsi="Calibri" w:eastAsia="Calibri"/>
          <w:color w:val="17241E"/>
          <w:sz w:val="22"/>
        </w:rPr>
        <w:t xml:space="preserve"> and component metadata.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This establishes: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MAVLink 1 or MAVLink 2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Firmware version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Hardware UID when exposed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Supported mission protocol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Supported positional-command format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Parameter support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File-transfer support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Camera and gimbal components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Vendor-specific dialects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MAVLink provides a component-metadata protocol so a ground application can discover capabilities without hard-coding every vehicle. </w:t>
      </w:r>
      <w:hyperlink r:id="rId16">
        <w:r>
          <w:rPr>
            <w:rFonts w:ascii="Calibri" w:hAnsi="Calibri"/>
            <w:color w:val="105445"/>
            <w:u w:val="single"/>
          </w:rPr>
          <w:t>MAVLink component metadata</w:t>
        </w:r>
      </w:hyperlink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Sentinel should compare the reported capability set with an allow-list: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TEXT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Expected vehicle: sentinel-drone-07</w:t>
              <w:br/>
              <w:t>Expected autopilot: PX4</w:t>
              <w:br/>
              <w:t>Required: MAVLink 2</w:t>
              <w:br/>
              <w:t>Required: mission-int</w:t>
              <w:br/>
              <w:t>Required: command-int</w:t>
              <w:br/>
              <w:t>Optional: camera, gimbal, FTP</w:t>
            </w:r>
          </w:p>
        </w:tc>
      </w:tr>
    </w:tbl>
    <w:p>
      <w:pPr>
        <w:spacing w:after="20" w:before="0"/>
      </w:pP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Stage 4: authentication and encryption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MAVLink 2 can sign messages, allowing the receiver to verify that they came from someone with the shared secret.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However, MAVLink signing does not encrypt the data. </w:t>
      </w:r>
      <w:hyperlink r:id="rId17">
        <w:r>
          <w:rPr>
            <w:rFonts w:ascii="Calibri" w:hAnsi="Calibri"/>
            <w:color w:val="105445"/>
            <w:u w:val="single"/>
          </w:rPr>
          <w:t>MAVLink security FAQ</w:t>
        </w:r>
      </w:hyperlink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A production arrangement should therefore use: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MAVLink 2 signing for message-level authenticity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WireGuard, IPsec, radio encryption or another encrypted transport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Device certificates or provisioned keys at the edge gateway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An allow-list linking hardware identity to Sentinel vehicle identity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Rotation and revocation of keys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Sentinel should not mark a vehicle </w:t>
      </w:r>
      <w:r>
        <w:rPr>
          <w:rFonts w:ascii="Consolas" w:hAnsi="Consolas" w:eastAsia="Consolas"/>
          <w:color w:val="105445"/>
          <w:sz w:val="21"/>
          <w:shd w:fill="EEF5F2"/>
        </w:rPr>
        <w:t>COMMANDABLE</w:t>
      </w:r>
      <w:r>
        <w:rPr>
          <w:rFonts w:ascii="Calibri" w:hAnsi="Calibri" w:eastAsia="Calibri"/>
          <w:color w:val="17241E"/>
          <w:sz w:val="22"/>
        </w:rPr>
        <w:t xml:space="preserve"> merely because it emits a heartbeat.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Stage 5: time synchronization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The adapter and vehicle exchange </w:t>
      </w:r>
      <w:r>
        <w:rPr>
          <w:rFonts w:ascii="Consolas" w:hAnsi="Consolas" w:eastAsia="Consolas"/>
          <w:color w:val="105445"/>
          <w:sz w:val="21"/>
          <w:shd w:fill="EEF5F2"/>
        </w:rPr>
        <w:t>TIMESYNC</w:t>
      </w:r>
      <w:r>
        <w:rPr>
          <w:rFonts w:ascii="Calibri" w:hAnsi="Calibri" w:eastAsia="Calibri"/>
          <w:color w:val="17241E"/>
          <w:sz w:val="22"/>
        </w:rPr>
        <w:t xml:space="preserve"> messages to estimate clock offset and link delay.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This is important for: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Track association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Video georegistration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Sensor fusion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Latency measurement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Audit trails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Replay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Without synchronization, “the drone was here at 14:03:01” could mean different times to the vehicle, camera and C2.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Stage 6: initial state synchronization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The adapter waits for or requests: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Position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Attitude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Velocity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GPS quality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Home position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Battery state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Estimator health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Current mode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Armed status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Current mission identifier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Camera and payload state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Radio/link quality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Only after these checks should the adapter transition through something like: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TEXT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DISCOVERED</w:t>
              <w:br/>
              <w:t>→ AUTHENTICATED</w:t>
              <w:br/>
              <w:t>→ SYNCHRONIZING</w:t>
              <w:br/>
              <w:t>→ TELEMETRY_READY</w:t>
              <w:br/>
              <w:t>→ COMMANDABLE</w:t>
            </w:r>
          </w:p>
        </w:tc>
      </w:tr>
    </w:tbl>
    <w:p>
      <w:pPr>
        <w:spacing w:after="20" w:before="0"/>
      </w:pP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A drone may be visible but intentionally not commandable because: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Firmware is unsupported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Vehicle ID is unrecognized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Signing failed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Position estimate is unhealthy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Time offset is unacceptable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Another ground station owns control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The safety pilot has not released authority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Stage 7: command handshake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Sentinel should send mission-level intent to its adapter: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JSON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{</w:t>
              <w:br/>
              <w:t xml:space="preserve">  "commandId": "cmd-9471",</w:t>
              <w:br/>
              <w:t xml:space="preserve">  "vehicleId": "sentinel-drone-07",</w:t>
              <w:br/>
              <w:t xml:space="preserve">  "type": "HOLD_POSITION",</w:t>
              <w:br/>
              <w:t xml:space="preserve">  "expiresAt": "2026-07-28T10:15:05Z"</w:t>
              <w:br/>
              <w:t>}</w:t>
            </w:r>
          </w:p>
        </w:tc>
      </w:tr>
    </w:tbl>
    <w:p>
      <w:pPr>
        <w:spacing w:after="20" w:before="0"/>
      </w:pP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The adapter translates that into the appropriate MAVLink command addressed to the vehicle’s system and component IDs.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MAVLink responds with </w:t>
      </w:r>
      <w:r>
        <w:rPr>
          <w:rFonts w:ascii="Consolas" w:hAnsi="Consolas" w:eastAsia="Consolas"/>
          <w:color w:val="105445"/>
          <w:sz w:val="21"/>
          <w:shd w:fill="EEF5F2"/>
        </w:rPr>
        <w:t>COMMAND_ACK</w:t>
      </w:r>
      <w:r>
        <w:rPr>
          <w:rFonts w:ascii="Calibri" w:hAnsi="Calibri" w:eastAsia="Calibri"/>
          <w:color w:val="17241E"/>
          <w:sz w:val="22"/>
        </w:rPr>
        <w:t>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TEXT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ACCEPTED</w:t>
              <w:br/>
              <w:t>IN_PROGRESS</w:t>
              <w:br/>
              <w:t>DENIED</w:t>
              <w:br/>
              <w:t>UNSUPPORTED</w:t>
              <w:br/>
              <w:t>TEMPORARILY_REJECTED</w:t>
              <w:br/>
              <w:t>FAILED</w:t>
            </w:r>
          </w:p>
        </w:tc>
      </w:tr>
    </w:tbl>
    <w:p>
      <w:pPr>
        <w:spacing w:after="20" w:before="0"/>
      </w:pP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If an acknowledgement is not received, the command protocol requires retry behavior. “Accepted” only means that the flight stack accepted the command, not necessarily that the physical action has completed. </w:t>
      </w:r>
      <w:hyperlink r:id="rId18">
        <w:r>
          <w:rPr>
            <w:rFonts w:ascii="Calibri" w:hAnsi="Calibri"/>
            <w:color w:val="105445"/>
            <w:u w:val="single"/>
          </w:rPr>
          <w:t>MAVLink command protocol</w:t>
        </w:r>
      </w:hyperlink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For complete waypoint plans, the mission protocol performs a multi-message upload and finishes with </w:t>
      </w:r>
      <w:r>
        <w:rPr>
          <w:rFonts w:ascii="Consolas" w:hAnsi="Consolas" w:eastAsia="Consolas"/>
          <w:color w:val="105445"/>
          <w:sz w:val="21"/>
          <w:shd w:fill="EEF5F2"/>
        </w:rPr>
        <w:t>MISSION_ACK</w:t>
      </w:r>
      <w:r>
        <w:rPr>
          <w:rFonts w:ascii="Calibri" w:hAnsi="Calibri" w:eastAsia="Calibri"/>
          <w:color w:val="17241E"/>
          <w:sz w:val="22"/>
        </w:rPr>
        <w:t xml:space="preserve">. </w:t>
      </w:r>
      <w:hyperlink r:id="rId19">
        <w:r>
          <w:rPr>
            <w:rFonts w:ascii="Calibri" w:hAnsi="Calibri"/>
            <w:color w:val="105445"/>
            <w:u w:val="single"/>
          </w:rPr>
          <w:t>MAVLink mission protocol</w:t>
        </w:r>
      </w:hyperlink>
    </w:p>
    <w:p>
      <w:pPr>
        <w:pStyle w:val="Heading1"/>
        <w:keepNext/>
      </w:pPr>
      <w:r>
        <w:rPr>
          <w:rFonts w:ascii="Calibri" w:hAnsi="Calibri" w:eastAsia="Calibri"/>
          <w:color w:val="105445"/>
          <w:sz w:val="32"/>
        </w:rPr>
        <w:t>The sensor handshake is similar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A radar or acoustic sensor may not use MAVLink. It typically connects to an edge computer through: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Ethernet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Serial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CAN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USB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ONVIF/RTSP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 vendor SDK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SAPIENT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ASTERIX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Cursor-on-Target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The edge adapter then performs: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MERMAID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sequenceDiagram</w:t>
              <w:br/>
              <w:t xml:space="preserve">    participant Sensor</w:t>
              <w:br/>
              <w:t xml:space="preserve">    participant Adapter</w:t>
              <w:br/>
              <w:t xml:space="preserve">    participant Edge</w:t>
              <w:br/>
              <w:t xml:space="preserve">    participant C2</w:t>
              <w:br/>
              <w:br/>
              <w:t xml:space="preserve">    Sensor-&gt;&gt;Adapter: Physical/IP connection</w:t>
              <w:br/>
              <w:t xml:space="preserve">    Adapter-&gt;&gt;Sensor: Query identity and capabilities</w:t>
              <w:br/>
              <w:t xml:space="preserve">    Sensor--&gt;&gt;Adapter: Model, modalities, frames, task support</w:t>
              <w:br/>
              <w:t xml:space="preserve">    Adapter-&gt;&gt;Edge: Register source and sensor</w:t>
              <w:br/>
              <w:t xml:space="preserve">    Edge--&gt;&gt;Adapter: Registration accepted</w:t>
              <w:br/>
              <w:t xml:space="preserve">    Adapter-&gt;&gt;Edge: Status and heartbeat</w:t>
              <w:br/>
              <w:t xml:space="preserve">    Adapter-&gt;&gt;Edge: Detections or local tracks</w:t>
              <w:br/>
              <w:t xml:space="preserve">    Edge-&gt;&gt;C2: Normalized observations</w:t>
              <w:br/>
              <w:t xml:space="preserve">    C2-&gt;&gt;Edge: Optional sensor task</w:t>
              <w:br/>
              <w:t xml:space="preserve">    Edge-&gt;&gt;Adapter: Look-at / mode / rate command</w:t>
              <w:br/>
              <w:t xml:space="preserve">    Adapter-&gt;&gt;Sensor: Vendor-native command</w:t>
              <w:br/>
              <w:t xml:space="preserve">    Sensor--&gt;&gt;Adapter: Result</w:t>
              <w:br/>
              <w:t xml:space="preserve">    Adapter--&gt;&gt;Edge: Command acknowledgement</w:t>
            </w:r>
          </w:p>
        </w:tc>
      </w:tr>
    </w:tbl>
    <w:p>
      <w:pPr>
        <w:spacing w:after="20" w:before="0"/>
      </w:pP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SAPIENT formalizes this with registration, status reports, detection definitions, task definitions, detection reports and task acknowledgements.</w:t>
      </w:r>
    </w:p>
    <w:p>
      <w:pPr>
        <w:pStyle w:val="Heading1"/>
        <w:keepNext/>
      </w:pPr>
      <w:r>
        <w:rPr>
          <w:rFonts w:ascii="Calibri" w:hAnsi="Calibri" w:eastAsia="Calibri"/>
          <w:color w:val="105445"/>
          <w:sz w:val="32"/>
        </w:rPr>
        <w:t>Recommended Sentinel hardware architecture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For the first physical-drone bench integration: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On the drone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PX4 or ArduPilot flight controller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MAVLink-capable telemetry link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Optional Linux companion computer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Existing manual-control/failsafe path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Camera only if needed for the demonstration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At the edge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Laptop or small industrial PC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Ground telemetry-radio endpoint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Ethernet/Wi-Fi/LTE as appropriate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onsolas" w:hAnsi="Consolas" w:eastAsia="Consolas"/>
          <w:color w:val="105445"/>
          <w:sz w:val="21"/>
          <w:shd w:fill="EEF5F2"/>
        </w:rPr>
        <w:t>sentinel-mavlink-adapter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MAVLink Router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Recorder and health monitor</w:t>
      </w:r>
    </w:p>
    <w:p>
      <w:pPr>
        <w:pStyle w:val="Normal"/>
        <w:widowControl/>
        <w:spacing w:after="80" w:line="300" w:lineRule="auto"/>
        <w:ind w:left="540" w:hanging="271"/>
      </w:pPr>
      <w:r>
        <w:rPr>
          <w:rFonts w:ascii="Calibri" w:hAnsi="Calibri" w:eastAsia="Calibri"/>
          <w:b/>
          <w:color w:val="17241E"/>
          <w:sz w:val="22"/>
        </w:rPr>
        <w:t xml:space="preserve">• </w:t>
      </w:r>
      <w:r>
        <w:rPr>
          <w:rFonts w:ascii="Calibri" w:hAnsi="Calibri" w:eastAsia="Calibri"/>
          <w:color w:val="17241E"/>
          <w:sz w:val="22"/>
        </w:rPr>
        <w:t>Device identity/key store</w:t>
      </w:r>
    </w:p>
    <w:p>
      <w:pPr>
        <w:pStyle w:val="Heading2"/>
        <w:keepNext/>
      </w:pPr>
      <w:r>
        <w:rPr>
          <w:rFonts w:ascii="Calibri" w:hAnsi="Calibri" w:eastAsia="Calibri"/>
          <w:color w:val="105445"/>
          <w:sz w:val="26"/>
        </w:rPr>
        <w:t>In Sentinel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50" w:type="dxa"/>
              <w:start w:w="180" w:type="dxa"/>
              <w:bottom w:w="150" w:type="dxa"/>
              <w:end w:w="180" w:type="dxa"/>
            </w:tcMar>
            <w:shd w:fill="F4F7F5"/>
            <w:tcBorders>
              <w:top w:val="single" w:sz="8" w:color="C9D8D1"/>
              <w:left w:val="single" w:sz="8" w:color="C9D8D1"/>
              <w:bottom w:val="single" w:sz="8" w:color="C9D8D1"/>
              <w:right w:val="single" w:sz="8" w:color="C9D8D1"/>
            </w:tcBorders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19715A"/>
                <w:sz w:val="16"/>
              </w:rPr>
              <w:t>TEXT</w:t>
              <w:br/>
            </w:r>
            <w:r>
              <w:rPr>
                <w:rFonts w:ascii="Consolas" w:hAnsi="Consolas" w:eastAsia="Consolas"/>
                <w:color w:val="17241E"/>
                <w:sz w:val="16"/>
              </w:rPr>
              <w:t>MAVLink adapter</w:t>
              <w:br/>
              <w:t xml:space="preserve">    ↓</w:t>
              <w:br/>
              <w:t>Sentinel Edge Gateway</w:t>
              <w:br/>
              <w:t xml:space="preserve">    ↓</w:t>
              <w:br/>
              <w:t>Canonical VehicleState</w:t>
              <w:br/>
              <w:t xml:space="preserve">    ↓</w:t>
              <w:br/>
              <w:t>C2 world model</w:t>
              <w:br/>
              <w:t xml:space="preserve">    ↓</w:t>
              <w:br/>
              <w:t>Policy and operator authority</w:t>
              <w:br/>
              <w:t xml:space="preserve">    ↓</w:t>
              <w:br/>
              <w:t>VehicleCommand</w:t>
              <w:br/>
              <w:t xml:space="preserve">    ↓</w:t>
              <w:br/>
              <w:t>Edge Gateway</w:t>
              <w:br/>
              <w:t xml:space="preserve">    ↓</w:t>
              <w:br/>
              <w:t>MAVLink adapter</w:t>
              <w:br/>
              <w:t xml:space="preserve">    ↓</w:t>
              <w:br/>
              <w:t>COMMAND_ACK / MISSION_ACK</w:t>
            </w:r>
          </w:p>
        </w:tc>
      </w:tr>
    </w:tbl>
    <w:p>
      <w:pPr>
        <w:spacing w:after="20" w:before="0"/>
      </w:pP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>The new adapter should be a separate process, just like the sensor simulator. Its southbound side speaks serial/UDP MAVLink, while its northbound side speaks Sentinel’s authenticated edge contract.</w:t>
      </w:r>
    </w:p>
    <w:p>
      <w:pPr>
        <w:widowControl/>
        <w:ind w:left="0" w:right="0" w:firstLine="0"/>
        <w:numPr>
          <w:ilvl w:val="0"/>
          <w:numId w:val="0"/>
        </w:numPr>
      </w:pPr>
      <w:r>
        <w:rPr>
          <w:rFonts w:ascii="Calibri" w:hAnsi="Calibri" w:eastAsia="Calibri"/>
          <w:color w:val="17241E"/>
          <w:sz w:val="22"/>
        </w:rPr>
        <w:t xml:space="preserve">The most important design rule is: </w:t>
      </w:r>
      <w:r>
        <w:rPr>
          <w:rFonts w:ascii="Calibri" w:hAnsi="Calibri" w:eastAsia="Calibri"/>
          <w:b/>
          <w:color w:val="17241E"/>
          <w:sz w:val="22"/>
        </w:rPr>
        <w:t>the UI must never own the MAVLink connection</w:t>
      </w:r>
      <w:r>
        <w:rPr>
          <w:rFonts w:ascii="Calibri" w:hAnsi="Calibri" w:eastAsia="Calibri"/>
          <w:color w:val="17241E"/>
          <w:sz w:val="22"/>
        </w:rPr>
        <w:t>. The edge adapter owns discovery, identity, synchronization, retries, command acknowledgements and failsafe behavior. The UI only sees a durable Sentinel vehicle and requests authorized mission actions.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D6E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24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054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9715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24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17241E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17241E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px4.io/v1.14/en/concept/px4_systems_architecture" TargetMode="External"/><Relationship Id="rId11" Type="http://schemas.openxmlformats.org/officeDocument/2006/relationships/hyperlink" Target="https://docs.px4.io/v1.14/en/companion_computer/" TargetMode="External"/><Relationship Id="rId12" Type="http://schemas.openxmlformats.org/officeDocument/2006/relationships/hyperlink" Target="https://docs.auterion.com/hardware-integration/skynode/evaluation-kit/connect-to-amc" TargetMode="External"/><Relationship Id="rId13" Type="http://schemas.openxmlformats.org/officeDocument/2006/relationships/hyperlink" Target="https://picogrid.com/newsroom/engineering-at-picogrid" TargetMode="External"/><Relationship Id="rId14" Type="http://schemas.openxmlformats.org/officeDocument/2006/relationships/hyperlink" Target="https://www.anduril.com/lattice/lattice-sdk" TargetMode="External"/><Relationship Id="rId15" Type="http://schemas.openxmlformats.org/officeDocument/2006/relationships/hyperlink" Target="https://mavlink.io/en/services/heartbeat.html" TargetMode="External"/><Relationship Id="rId16" Type="http://schemas.openxmlformats.org/officeDocument/2006/relationships/hyperlink" Target="https://mavlink.io/en/services/component_metadata.html" TargetMode="External"/><Relationship Id="rId17" Type="http://schemas.openxmlformats.org/officeDocument/2006/relationships/hyperlink" Target="https://mavlink.io/en/about/faq.html" TargetMode="External"/><Relationship Id="rId18" Type="http://schemas.openxmlformats.org/officeDocument/2006/relationships/hyperlink" Target="https://mavlink.io/en/services/command.html" TargetMode="External"/><Relationship Id="rId19" Type="http://schemas.openxmlformats.org/officeDocument/2006/relationships/hyperlink" Target="https://mavlink.io/en/services/miss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C2 Platform Hardware and Software Handshake</dc:title>
  <dc:subject>Verbatim technical research note</dc:subject>
  <dc:creator>Sentinel</dc:creator>
  <cp:keywords>C2, UAV, MAVLink, edge gateway, sensors</cp:keywords>
  <dc:description>Formatted verbatim from the supplied source message.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