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B78103"/>
          <w:sz w:val="20"/>
        </w:rPr>
        <w:t>SENTINEL / ARCHITECTURE RESEARCH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Vehicle and Sensor Integration</w:t>
      </w:r>
    </w:p>
    <w:p>
      <w:pPr>
        <w:pStyle w:val="Subtitle"/>
        <w:jc w:val="center"/>
      </w:pPr>
      <w:r>
        <w:t>MVP protocol scope, data model, emissions risk, and combat case studies</w:t>
      </w:r>
    </w:p>
    <w:p>
      <w:pPr>
        <w:spacing w:before="160" w:after="600"/>
        <w:pBdr>
          <w:bottom w:val="single" w:sz="10" w:space="6" w:color="B78103"/>
        </w:pBdr>
      </w:pPr>
    </w:p>
    <w:p>
      <w:pPr>
        <w:spacing w:after="160"/>
        <w:jc w:val="center"/>
      </w:pPr>
      <w:r>
        <w:rPr>
          <w:rFonts w:ascii="Calibri" w:hAnsi="Calibri"/>
          <w:b/>
          <w:i w:val="0"/>
          <w:color w:val="64748B"/>
          <w:sz w:val="22"/>
        </w:rPr>
        <w:t>Prepared for the Sentinel student development team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28 July 2026  |  MVP research synthesis</w:t>
      </w:r>
    </w:p>
    <w:p>
      <w:r>
        <w:br w:type="page"/>
      </w:r>
    </w:p>
    <w:p>
      <w:pPr>
        <w:pStyle w:val="Heading1"/>
      </w:pPr>
      <w:r>
        <w:t>Executive brief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DECISION  </w:t>
      </w:r>
      <w:r>
        <w:rPr>
          <w:rFonts w:ascii="Calibri" w:hAnsi="Calibri"/>
          <w:b w:val="0"/>
          <w:i w:val="0"/>
          <w:color w:val="1E293B"/>
          <w:sz w:val="21"/>
        </w:rPr>
        <w:t>Build Sentinel around a canonical asset-and-observation model at the edge gateway. Integrate the nearest practical platform interface, simulate that interface as a separate service, and treat degraded connectivity as a normal operating state.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Connecting battlefield vehicles, ambulances, drones, and fixed sensors to a C2 platform is feasible and already proven. What is not realistic is a complete, continuously current map of every asset. Combat evidence repeatedly shows partial deployment, mixed transports, stale updates, bandwidth limits, cyber disruption, and electronic-warfare pressure.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For the MVP, Sentinel should transmit compact tracks, asset state, health, link condition, and mission events. Raw vehicle buses and high-rate payload data stay local unless a named integration requires them. The product value is a defensible, time-aware picture of what is known, how fresh it is, and how confident the system should be.</w:t>
      </w:r>
    </w:p>
    <w:p>
      <w:pPr>
        <w:pStyle w:val="Heading2"/>
      </w:pPr>
      <w:r>
        <w:t>Recommended MVP cut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Keep HTTP/JSON and WebSocket as Sentinel's internal application contract.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Use MAVLink 2 as the first real UAV adapter and NDJSON as the deterministic replay/simulation fixture.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Add SAPIENT/Protobuf only for a direct counter-UAS sensor integration; add ONVIF Profile T plus RTSP only for a direct EO/IR camera integration.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Model connectivity explicitly: connected, degraded, intermittent, disconnected, emissions-restricted, and suspected-compromise.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Keep LiDAR, CAN, DroneCAN, ROS 2/DDS, and vendor payload buses behind the vehicle or gateway boundary.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Defer Link 16, ASTERIX, CoT/TAK, MQTT, Modbus, NMEA, LoRaWAN, and generic gRPC until a named customer, sensor, or partner creates a concrete requirement.</w:t>
      </w:r>
    </w:p>
    <w:p>
      <w:pPr>
        <w:spacing w:before="120" w:after="200" w:line="276" w:lineRule="auto"/>
        <w:ind w:left="173" w:right="115"/>
        <w:shd w:fill="FFF8E8"/>
        <w:pBdr>
          <w:left w:val="single" w:sz="18" w:space="8" w:color="B78103"/>
        </w:pBdr>
      </w:pPr>
      <w:r>
        <w:rPr>
          <w:rFonts w:ascii="Calibri" w:hAnsi="Calibri"/>
          <w:b/>
          <w:i w:val="0"/>
          <w:color w:val="B78103"/>
          <w:sz w:val="21"/>
        </w:rPr>
        <w:t xml:space="preserve">REALITY CHECK  </w:t>
      </w:r>
      <w:r>
        <w:rPr>
          <w:rFonts w:ascii="Calibri" w:hAnsi="Calibri"/>
          <w:b w:val="0"/>
          <w:i w:val="0"/>
          <w:color w:val="1E293B"/>
          <w:sz w:val="21"/>
        </w:rPr>
        <w:t>Encryption can protect content, but it cannot make a radio transmission invisible. Sentinel must support silence, delay, store-and-forward, alternate bearers, stale-track visualization, and local autonomy.</w:t>
      </w:r>
    </w:p>
    <w:p>
      <w:r>
        <w:br w:type="page"/>
      </w:r>
    </w:p>
    <w:p>
      <w:pPr>
        <w:pStyle w:val="Heading1"/>
      </w:pPr>
      <w:r>
        <w:t>1. System boundary and handshake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C2 platform should not speak every low-level sensor or vehicle protocol directly. The edge gateway is the translation and trust boundary. It collects local data, normalizes it, applies policy and buffering, and exposes a stable Sentinel contract over whichever transport is available.</w:t>
      </w:r>
    </w:p>
    <w:p>
      <w:pPr>
        <w:pStyle w:val="Heading2"/>
      </w:pPr>
      <w:r>
        <w:t>Target runtime topology</w:t>
      </w:r>
    </w:p>
    <w:p>
      <w:pPr>
        <w:spacing w:before="80" w:after="240" w:line="252" w:lineRule="auto"/>
        <w:ind w:left="259" w:right="259"/>
        <w:shd w:fill="EEF3F8"/>
        <w:pBdr>
          <w:left w:val="single" w:sz="18" w:space="8" w:color="2E74B5"/>
        </w:pBdr>
      </w:pPr>
      <w:r>
        <w:rPr>
          <w:rFonts w:ascii="Consolas" w:hAnsi="Consolas"/>
          <w:b/>
          <w:i w:val="0"/>
          <w:color w:val="17365D"/>
          <w:sz w:val="18"/>
        </w:rPr>
        <w:t>VEHICLE / SENSOR SIDE</w:t>
        <w:br/>
      </w:r>
      <w:r>
        <w:rPr>
          <w:rFonts w:ascii="Consolas" w:hAnsi="Consolas"/>
          <w:b w:val="0"/>
          <w:i w:val="0"/>
          <w:color w:val="1E293B"/>
          <w:sz w:val="18"/>
        </w:rPr>
        <w:t>Local sensors and autopilot -&gt; vendor or vehicle interfaces -&gt; Sentinel edge gateway</w:t>
        <w:br/>
      </w:r>
      <w:r>
        <w:rPr>
          <w:rFonts w:ascii="Consolas" w:hAnsi="Consolas"/>
          <w:b w:val="0"/>
          <w:i w:val="0"/>
          <w:color w:val="1E293B"/>
          <w:sz w:val="18"/>
        </w:rPr>
        <w:br/>
      </w:r>
      <w:r>
        <w:rPr>
          <w:rFonts w:ascii="Consolas" w:hAnsi="Consolas"/>
          <w:b/>
          <w:i w:val="0"/>
          <w:color w:val="17365D"/>
          <w:sz w:val="18"/>
        </w:rPr>
        <w:t>TACTICAL NETWORK</w:t>
        <w:br/>
      </w:r>
      <w:r>
        <w:rPr>
          <w:rFonts w:ascii="Consolas" w:hAnsi="Consolas"/>
          <w:b w:val="0"/>
          <w:i w:val="0"/>
          <w:color w:val="1E293B"/>
          <w:sz w:val="18"/>
        </w:rPr>
        <w:t>Protected IP bearer(s), intermittent links, store-and-forward, optional silence</w:t>
        <w:br/>
      </w:r>
      <w:r>
        <w:rPr>
          <w:rFonts w:ascii="Consolas" w:hAnsi="Consolas"/>
          <w:b w:val="0"/>
          <w:i w:val="0"/>
          <w:color w:val="1E293B"/>
          <w:sz w:val="18"/>
        </w:rPr>
        <w:br/>
      </w:r>
      <w:r>
        <w:rPr>
          <w:rFonts w:ascii="Consolas" w:hAnsi="Consolas"/>
          <w:b/>
          <w:i w:val="0"/>
          <w:color w:val="17365D"/>
          <w:sz w:val="18"/>
        </w:rPr>
        <w:t>C2 SIDE</w:t>
        <w:br/>
      </w:r>
      <w:r>
        <w:rPr>
          <w:rFonts w:ascii="Consolas" w:hAnsi="Consolas"/>
          <w:b w:val="0"/>
          <w:i w:val="0"/>
          <w:color w:val="1E293B"/>
          <w:sz w:val="18"/>
        </w:rPr>
        <w:t>Sentinel ingest -&gt; validation -&gt; track/asset fusion -&gt; UI and mission services</w:t>
        <w:br/>
      </w:r>
      <w:r>
        <w:rPr>
          <w:rFonts w:ascii="Consolas" w:hAnsi="Consolas"/>
          <w:b w:val="0"/>
          <w:i w:val="0"/>
          <w:color w:val="1E293B"/>
          <w:sz w:val="18"/>
        </w:rPr>
        <w:br/>
      </w:r>
      <w:r>
        <w:rPr>
          <w:rFonts w:ascii="Consolas" w:hAnsi="Consolas"/>
          <w:b/>
          <w:i w:val="0"/>
          <w:color w:val="17365D"/>
          <w:sz w:val="18"/>
        </w:rPr>
        <w:t>SIMULATION SIDE</w:t>
        <w:br/>
      </w:r>
      <w:r>
        <w:rPr>
          <w:rFonts w:ascii="Consolas" w:hAnsi="Consolas"/>
          <w:b w:val="0"/>
          <w:i w:val="0"/>
          <w:color w:val="1E293B"/>
          <w:sz w:val="18"/>
        </w:rPr>
        <w:t>Gazebo + standalone sensor simulator -&gt; same edge gateway contract as real hardware</w:t>
      </w:r>
    </w:p>
    <w:p>
      <w:pPr>
        <w:pStyle w:val="Heading2"/>
      </w:pPr>
      <w:r>
        <w:t>Handshake sequence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Discover and identify. The gateway recognizes a device or simulated adapter, records manufacturer/model/firmware, and assigns a stable asset or sensor identity.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Authenticate and authorize. The device or upstream gateway proves identity; Sentinel applies allowlists, role and command permissions, and certificate or key policy.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Negotiate capability. The adapter reports supported observations, commands, coordinate frames, units, rates, payload schemas, and health semantics.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Synchronize time and position. The gateway records clock quality, time source, coordinate reference, and uncertainty before accepting observations.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Stream and acknowledge. Telemetry and observations carry sequence, observed time, received time, quality, and source provenance. Commands carry expiry and acknowledgement.</w:t>
      </w:r>
    </w:p>
    <w:p>
      <w:pPr>
        <w:spacing w:after="160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E293B"/>
          <w:sz w:val="22"/>
        </w:rPr>
        <w:t>Degrade safely. On link loss, the gateway buffers approved events, stops expired commands, preserves local control, and reports state once communication returns.</w:t>
      </w:r>
    </w:p>
    <w:p>
      <w:pPr>
        <w:pStyle w:val="Heading2"/>
      </w:pPr>
      <w:r>
        <w:t>Separation of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Component</w:t>
            </w:r>
          </w:p>
        </w:tc>
        <w:tc>
          <w:tcPr>
            <w:tcW w:type="dxa" w:w="37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Owns</w:t>
            </w:r>
          </w:p>
        </w:tc>
        <w:tc>
          <w:tcPr>
            <w:tcW w:type="dxa" w:w="37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Does not own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Vehicle/autopilot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Stabilization, navigation, safety interlocks, local payload control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C2-wide fusion or common operating picture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Sensor simulator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Synthetic detections, noise, latency, false alarms, sensor placement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Trusted ground truth exposure to the UI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Edge gateway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Adapters, normalization, identity, buffering, policy, link health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Flight-control loops or raw-sensor visualization by default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Sentinel C2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Asset state, fusion, tasking workflow, confidence and staleness UI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Vendor-specific low-level buses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Gazebo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Physics and vehicle/sensor truth for simulation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Production integration contract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2. Asset and sensor taxonomy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Sentinel should model platforms as assets with composable components, not as a flat list of sensor icons. A UAV, ground vehicle, manned aircraft, ambulance, or fixed site shares a common operational core and then adds mission-specific profiles.</w:t>
      </w:r>
    </w:p>
    <w:p>
      <w:pPr>
        <w:pStyle w:val="Heading2"/>
      </w:pPr>
      <w:r>
        <w:t>Common asset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Component</w:t>
            </w:r>
          </w:p>
        </w:tc>
        <w:tc>
          <w:tcPr>
            <w:tcW w:type="dxa" w:w="7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Minimum C2 data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Identity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Asset ID, callsign, type, affiliation, trust status, software/firmware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Kinematics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Position, altitude, velocity, heading, orientation, covariance or accuracy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Readiness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Power/fuel, endurance, faults, temperature, payload availability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Communications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Bearer, link state, signal/quality indicator, latency, last contact, route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Mission/autonomy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Mode, task, route/waypoints, command status, geofence or safety state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Data quality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Observed time, received time, age, confidence, provenance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Mission sensor profiles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710"/>
        <w:gridCol w:w="3200"/>
      </w:tblGrid>
      <w:tr>
        <w:trPr>
          <w:cantSplit/>
          <w:tblHeader w:val="true"/>
        </w:trPr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Profile</w:t>
            </w:r>
          </w:p>
        </w:tc>
        <w:tc>
          <w:tcPr>
            <w:tcW w:type="dxa" w:w="47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C2-relevant output</w:t>
            </w:r>
          </w:p>
        </w:tc>
        <w:tc>
          <w:tcPr>
            <w:tcW w:type="dxa" w:w="3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MVP treatment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EO/IR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Video/image reference, detection, classification, line of sight, gimbal pose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Adapter only if camera is integrated; stream metadata separately from video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Radar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Plot/track, range, bearing, elevation, radial velocity, track quality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Simulate normalized tracks; SAPIENT when a real C-UAS sensor is named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RF/ESM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Emitter detection, frequency band, bearing, confidence, identity hypothesis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Simulate bearings/events; avoid raw spectrum in the C2 core</w:t>
            </w:r>
          </w:p>
        </w:tc>
      </w:tr>
    </w:tbl>
    <w:p>
      <w:pPr>
        <w:spacing w:before="80" w:after="80"/>
      </w:pPr>
    </w:p>
    <w:p>
      <w:pPr>
        <w:pStyle w:val="Heading2"/>
        <w:pageBreakBefore/>
      </w:pPr>
      <w:r>
        <w:t>Mission sensor profiles (continued)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710"/>
        <w:gridCol w:w="3200"/>
      </w:tblGrid>
      <w:tr>
        <w:trPr>
          <w:cantSplit/>
          <w:tblHeader w:val="true"/>
        </w:trPr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Profile</w:t>
            </w:r>
          </w:p>
        </w:tc>
        <w:tc>
          <w:tcPr>
            <w:tcW w:type="dxa" w:w="47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C2-relevant output</w:t>
            </w:r>
          </w:p>
        </w:tc>
        <w:tc>
          <w:tcPr>
            <w:tcW w:type="dxa" w:w="3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MVP treatment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Cooperative ID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Transponder or friendly identity, position, status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Normalize into asset identity and trust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Threat warning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Alert type, bearing, severity, timestamp, confidence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Represent as event plus affected asset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Acoustic/UGS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Event, bearing or zone, class hypothesis, confidence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Optional demo modality; event-level data only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Weather/environment</w:t>
            </w:r>
          </w:p>
        </w:tc>
        <w:tc>
          <w:tcPr>
            <w:tcW w:type="dxa" w:w="4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Wind, visibility, precipitation, pressure, hazards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Useful for route/endurance and sensor-performance context</w:t>
            </w:r>
          </w:p>
        </w:tc>
      </w:tr>
    </w:tbl>
    <w:p>
      <w:pPr>
        <w:spacing w:before="80" w:after="80"/>
      </w:pPr>
    </w:p>
    <w:p>
      <w:pPr>
        <w:spacing w:before="120" w:after="200" w:line="276" w:lineRule="auto"/>
        <w:ind w:left="173" w:right="115"/>
        <w:shd w:fill="FFF8E8"/>
        <w:pBdr>
          <w:left w:val="single" w:sz="18" w:space="8" w:color="B78103"/>
        </w:pBdr>
      </w:pPr>
      <w:r>
        <w:rPr>
          <w:rFonts w:ascii="Calibri" w:hAnsi="Calibri"/>
          <w:b/>
          <w:i w:val="0"/>
          <w:color w:val="B78103"/>
          <w:sz w:val="21"/>
        </w:rPr>
        <w:t xml:space="preserve">LIDAR  </w:t>
      </w:r>
      <w:r>
        <w:rPr>
          <w:rFonts w:ascii="Calibri" w:hAnsi="Calibri"/>
          <w:b w:val="0"/>
          <w:i w:val="0"/>
          <w:color w:val="1E293B"/>
          <w:sz w:val="21"/>
        </w:rPr>
        <w:t>LiDAR is useful for local navigation, obstacle avoidance, terrain mapping, landing, and perception. It is usually not a top-level C2 sensor feed. Sentinel should ingest derived objects, hazards, maps, or clearance state, not the point cloud by default.</w:t>
      </w:r>
    </w:p>
    <w:p>
      <w:pPr>
        <w:pStyle w:val="Heading2"/>
      </w:pPr>
      <w:r>
        <w:t>Ambulance and emergency-vehicle profile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An ambulance is a legitimate C2 asset, but the operational picture and clinical record must be separated. C2 needs location, availability, route, capacity, protection status, link state, and high-level casualty-load indicators. Patient identity, clinical notes, and detailed physiological data belong in a restricted medical system and should cross the C2 boundary only through deliberate policy.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Operational channel: position, movement, mission status, destination, seats/stretcher capacity, fuel/power, faults, and last contact.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Medical summary channel: aggregate patient count, triage categories, requested capability, contamination or isolation flags, and time sensitivity.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Restricted clinical channel: identifiable patient data and detailed observations using healthcare schemas such as FHIR or a jurisdiction-specific EMS standard, with stricter access and audit.</w:t>
      </w:r>
    </w:p>
    <w:p>
      <w:pPr>
        <w:pStyle w:val="Heading1"/>
      </w:pPr>
      <w:r>
        <w:t>3. Canonical data shape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Every adapter should translate into a small set of stable envelopes. This keeps the UI, fusion service, and simulator independent of MAVLink, ONVIF, SAPIENT, vendor APIs, or future partner platforms.</w:t>
      </w:r>
    </w:p>
    <w:p>
      <w:pPr>
        <w:pStyle w:val="Heading2"/>
      </w:pPr>
      <w:r>
        <w:t>Core envelopes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020"/>
        <w:gridCol w:w="2890"/>
      </w:tblGrid>
      <w:tr>
        <w:trPr>
          <w:cantSplit/>
          <w:tblHeader w:val="true"/>
        </w:trPr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Envelope</w:t>
            </w:r>
          </w:p>
        </w:tc>
        <w:tc>
          <w:tcPr>
            <w:tcW w:type="dxa" w:w="50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Required fields</w:t>
            </w:r>
          </w:p>
        </w:tc>
        <w:tc>
          <w:tcPr>
            <w:tcW w:type="dxa" w:w="289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AssetState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assetId, observedAt, receivedAt, pose, motion, mode, readiness, linkState, source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Friendly/platform state and its quality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Observation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observationId, sensorId, observedAt, geometry, measurement, classification, confidence, source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Unassociated sensor evidence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Track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trackId, state vector, covariance, classification, affiliation, confidence, contributingSources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Fused operational object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Event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eventId, type, severity, location/asset, observedAt, confidence, source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Threat, fault, medical, mission, or policy alert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Command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commandId, targetId, issuedAt, expiresAt, parameters, authority, acknowledgement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Safe, auditable tasking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AdapterHealth</w:t>
            </w:r>
          </w:p>
        </w:tc>
        <w:tc>
          <w:tcPr>
            <w:tcW w:type="dxa" w:w="5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adapterId, device, firmware, heartbeat, faults, queueDepth, clockQuality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Integration and gateway observability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Freshness and uncertainty are first-class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Store observedAt and receivedAt separately. Arrival time is not measurement time.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Expose ageSeconds, source, confidence, coordinate uncertainty, and link state to the UI.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Render stale assets as ghosts or uncertainty regions instead of silently freezing a green icon.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Increase uncertainty with time according to the asset's last known speed, manoeuvrability, and source quality.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Reject or flag impossible time jumps, coordinate discontinuities, duplicate sequence numbers, and identity conflicts.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RECOMMENDED STATES  </w:t>
      </w:r>
      <w:r>
        <w:rPr>
          <w:rFonts w:ascii="Calibri" w:hAnsi="Calibri"/>
          <w:b w:val="0"/>
          <w:i w:val="0"/>
          <w:color w:val="1E293B"/>
          <w:sz w:val="21"/>
        </w:rPr>
        <w:t>CONNECTED, DEGRADED, INTERMITTENT, DISCONNECTED, EMISSIONS_RESTRICTED, and SUSPECTED_COMPROMISE. These states should drive UI treatment, command eligibility, and buffering policy.</w:t>
      </w:r>
    </w:p>
    <w:p>
      <w:pPr>
        <w:pStyle w:val="Heading1"/>
        <w:pageBreakBefore/>
      </w:pPr>
      <w:r>
        <w:t>4. Protocol scope and adapter strategy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MVP should minimize integration surface area. Protocol support is justified by a concrete adjacent system, not by theoretical completeness.</w:t>
      </w:r>
    </w:p>
    <w:p>
      <w:pPr>
        <w:pStyle w:val="Heading2"/>
      </w:pPr>
      <w:r>
        <w:t>Protocol scope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600"/>
        <w:gridCol w:w="5710"/>
      </w:tblGrid>
      <w:tr>
        <w:trPr>
          <w:cantSplit/>
          <w:tblHeader w:val="true"/>
        </w:trP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Priority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Protocol/interface</w:t>
            </w:r>
          </w:p>
        </w:tc>
        <w:tc>
          <w:tcPr>
            <w:tcW w:type="dxa" w:w="57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Use in Sentinel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Must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HTTP/JSON + WebSocket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UI/control APIs and live normalized event delivery inside the current stack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Must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MAVLink 2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First UAV/autopilot integration; telemetry, mission state, command acknowledgement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Must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NDJSON replay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Deterministic simulation fixtures, test capture, fault injection, demos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If named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SAPIENT/Protobuf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Direct autonomous counter-UAS sensor or effector integration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If named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ONVIF Profile T + RTSP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Direct EO/IR camera control and media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If named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Vendor/platform API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ParallaxOS, Lattice, Picogrid, Skynode, or named sensor gateway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If named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CoT/TAK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Only when TAK interoperability is an explicit demo or customer requirement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If named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ASTERIX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Only for a named surveillance radar or air-traffic feed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Defer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Link 16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 not implement; use an accredited gateway if a future program requires it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Defer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MQTT, Modbus, NMEA, LoRaWAN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Add as isolated adapters only when selected hardware requires them</w:t>
            </w:r>
          </w:p>
        </w:tc>
      </w:tr>
      <w:tr>
        <w:trPr>
          <w:cantSplit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Local only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CAN/J1939, DroneCAN, ROS 2/DDS</w:t>
            </w:r>
          </w:p>
        </w:tc>
        <w:tc>
          <w:tcPr>
            <w:tcW w:type="dxa" w:w="5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Keep behind the vehicle/gateway boundary; export normalized state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Adapter contract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Identity: device, adapter, asset, sensor, manufacturer, model, firmware, certificate/key reference.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Capabilities: observation and command types, units, frames, rates, limits, media endpoints, safety constraints.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Lifecycle: discover, connect, authenticate, configure, start, health, stop, recover.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Normalization: source message plus canonical envelope, with traceable conversion and no hidden unit changes.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Resilience: bounded queue, back-pressure, retry policy, deduplication, sequence tracking, store-and-forward.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Testability: captured fixtures, simulated faults, schema validation, time-skew and packet-loss cases.</w:t>
      </w:r>
    </w:p>
    <w:p>
      <w:pPr>
        <w:pStyle w:val="Heading1"/>
      </w:pPr>
      <w:r>
        <w:t>5. Real-platform benchmark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market confirms the architectural boundary: mature systems expose entities, tasks, tracks, video, and normalized sensor observations, while aircraft and vehicle systems retain their own real-time control and payload buses.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20"/>
        <w:gridCol w:w="3640"/>
      </w:tblGrid>
      <w:tr>
        <w:trPr>
          <w:cantSplit/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Platform</w:t>
            </w:r>
          </w:p>
        </w:tc>
        <w:tc>
          <w:tcPr>
            <w:tcW w:type="dxa" w:w="40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Publicly evidenced role</w:t>
            </w:r>
          </w:p>
        </w:tc>
        <w:tc>
          <w:tcPr>
            <w:tcW w:type="dxa" w:w="36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Implication for Sentinel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Anduril Lattice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Common entity model and task-oriented integration across sensors/effectors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Closest overlap at the C2 data-model and orchestration layer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Picogrid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Edge hardware/software nodes connecting heterogeneous sensors and effectors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Closest match to the gateway-plus-C2 architecture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Auterion Skynode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Onboard mission computer and autopilot ecosystem with MAVLink-facing integration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Complementary UAV layer; connect through MAVLink/API, do not replace it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ParallaxOS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Vendor-positioned heterogeneous sensor fusion and effector/tasking layer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Direct overlap; avoid duplicating protocol breadth without a target integration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SAPIENT ecosystem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Open autonomous sensor/effector messaging for counter-UAS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Best optional standard for a real C-UAS demo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TAK/CoT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Shared situational awareness and tactical data exchange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Useful interoperability edge, not the canonical internal model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Representative sensor suites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MQ-9 Reaper public descriptions combine multi-spectral EO/IR, laser designation/ranging, and synthetic-aperture radar. Sentinel should receive selected platform state, payload state, tracks, imagery references, and mission events rather than raw internal buses [1].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F-35 mission systems demonstrate tightly integrated radar, electro-optical, electronic-warfare, navigation, and communications functions. This reinforces the need to treat the aircraft as a fused platform source, not as a bag of independent C2 sensors [2].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US Army VICTORY shows how a vehicle architecture can share position, time, and data services while reducing duplicated hardware. Sentinel should sit above that type of vehicle integration layer [3].</w:t>
      </w:r>
    </w:p>
    <w:p>
      <w:pPr>
        <w:pStyle w:val="Heading2"/>
      </w:pPr>
      <w:r>
        <w:t>Where Sentinel should differentiate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Sentinel does not need to claim broader protocol support than established vendors. A credible student MVP can differentiate through transparent uncertainty, low-cost simulation, adapter conformance tests, cost-asymmetry analytics, and a deliberate degraded-network experience. The best integration strategy is to connect to an existing gateway or mission computer when one exists, and write a narrow adapter only where it does not.</w:t>
      </w:r>
    </w:p>
    <w:p>
      <w:pPr>
        <w:pStyle w:val="Heading1"/>
      </w:pPr>
      <w:r>
        <w:t>6. Battlefield feasibility and emissions risk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Vehicle connectivity is operationally valuable because it reduces position-reporting burden, supports navigation, improves coordination, and gives commanders a shared picture. It also creates detectable and attackable communications dependencies. The correct conclusion is not 'never connect'; it is 'connect selectively, with disciplined emissions and graceful degradation.'</w:t>
      </w:r>
    </w:p>
    <w:p>
      <w:pPr>
        <w:pStyle w:val="Heading2"/>
      </w:pPr>
      <w:r>
        <w:t>Risk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020"/>
        <w:gridCol w:w="3790"/>
      </w:tblGrid>
      <w:tr>
        <w:trPr>
          <w:cantSplit/>
          <w:tblHeader w:val="true"/>
        </w:trPr>
        <w:tc>
          <w:tcPr>
            <w:tcW w:type="dxa" w:w="1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40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What it means</w:t>
            </w:r>
          </w:p>
        </w:tc>
        <w:tc>
          <w:tcPr>
            <w:tcW w:type="dxa" w:w="379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MVP design response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Detection/geolocation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 adversary can detect or locate emissions even if payloads are encrypted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Silence mode, burst transmission, configurable rates, visible emissions state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Jamming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Bearer becomes slow, intermittent, or unavailable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Multiple bearers, queues, back-pressure, stale state, local autonomy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Spoofing/identity abuse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False or captured source injects believable data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Mutual authentication, allowlists, provenance, anomaly flags, revocation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Cyber compromise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Gateway, account, or service becomes untrusted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Least privilege, signed updates, segmentation, audit, suspected-compromise state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Bandwidth exhaustion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Video or excessive telemetry crowds out essential state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Priority classes, metadata-first video, rate control, bounded payloads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Partial deployment</w:t>
            </w:r>
          </w:p>
        </w:tc>
        <w:tc>
          <w:tcPr>
            <w:tcW w:type="dxa" w:w="4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Only some assets have compatible kits or connectivity</w:t>
            </w:r>
          </w:p>
        </w:tc>
        <w:tc>
          <w:tcPr>
            <w:tcW w:type="dxa" w:w="37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Explicit coverage gaps and human/manual reports</w:t>
            </w:r>
          </w:p>
        </w:tc>
      </w:tr>
    </w:tbl>
    <w:p>
      <w:pPr>
        <w:spacing w:before="80" w:after="80"/>
      </w:pPr>
    </w:p>
    <w:p>
      <w:pPr>
        <w:spacing w:before="120" w:after="200" w:line="276" w:lineRule="auto"/>
        <w:ind w:left="173" w:right="115"/>
        <w:shd w:fill="FCEBEC"/>
        <w:pBdr>
          <w:left w:val="single" w:sz="18" w:space="8" w:color="9B1C1C"/>
        </w:pBdr>
      </w:pPr>
      <w:r>
        <w:rPr>
          <w:rFonts w:ascii="Calibri" w:hAnsi="Calibri"/>
          <w:b/>
          <w:i w:val="0"/>
          <w:color w:val="9B1C1C"/>
          <w:sz w:val="21"/>
        </w:rPr>
        <w:t xml:space="preserve">SECURITY PRINCIPLE  </w:t>
      </w:r>
      <w:r>
        <w:rPr>
          <w:rFonts w:ascii="Calibri" w:hAnsi="Calibri"/>
          <w:b w:val="0"/>
          <w:i w:val="0"/>
          <w:color w:val="1E293B"/>
          <w:sz w:val="21"/>
        </w:rPr>
        <w:t>A secure radio is not a stealth radio. Sentinel's UI should never imply that encrypted connectivity is free of tactical exposure.</w:t>
      </w:r>
    </w:p>
    <w:p>
      <w:pPr>
        <w:pStyle w:val="Heading2"/>
      </w:pPr>
      <w:r>
        <w:t>Operational posture for the MVP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Send essential state and events at the lowest useful rate; do not default to continuous high-rate streaming.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Make emissions restrictions a commander/operator policy input, not an invisible network failure.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Allow assets to remain operational when disconnected; queue only information that remains useful after delay.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Expire commands and require acknowledgement. Never execute a stale task merely because a link recovered.</w:t>
      </w:r>
    </w:p>
    <w:p>
      <w:pPr>
        <w:spacing w:after="1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E293B"/>
          <w:sz w:val="22"/>
        </w:rPr>
        <w:t>Show source, time, confidence, and communication state at every decision point.</w:t>
      </w:r>
    </w:p>
    <w:p>
      <w:pPr>
        <w:pStyle w:val="Heading1"/>
      </w:pPr>
      <w:r>
        <w:t>7. Combat case studies</w:t>
      </w:r>
    </w:p>
    <w:p>
      <w:pPr>
        <w:pStyle w:val="Heading2"/>
      </w:pPr>
      <w:r>
        <w:t>Iraq: Blue Force Tracking was useful, incomplete, and bandwidth-bound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During Operation Iraqi Freedom, FBCB2/Blue Force Tracking gave equipped units a shared friendly-force picture, supported movement through dust and poor visibility, and reduced some voice position reporting. Public after-action material also records limited fielding, mixed systems, bandwidth constraints, and update intervals that could leave a partial or stale picture. One contemporary Armor article described 1,189 BFT packages across participating units and reported early update behavior around five minutes or 800 metres [12].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3/2 Stryker Brigade Combat Team's Iraq experience further shows that digital tracking did not replace communications diversity. Its long movement relied on BFT alongside tactical satellite, HF, and other bearers [13]. A GAO review found multiple incompatible blue-force tracking systems during OIF, forcing improvised bridges and demonstrating that interoperability is an operational problem, not a checkbox [14].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SENTINEL LESSON  </w:t>
      </w:r>
      <w:r>
        <w:rPr>
          <w:rFonts w:ascii="Calibri" w:hAnsi="Calibri"/>
          <w:b w:val="0"/>
          <w:i w:val="0"/>
          <w:color w:val="1E293B"/>
          <w:sz w:val="21"/>
        </w:rPr>
        <w:t>Design for mixed fleets and an incomplete picture. A stale or missing asset is a first-class state, and a gateway bridge is a normal deployment component.</w:t>
      </w:r>
    </w:p>
    <w:p>
      <w:pPr>
        <w:pStyle w:val="Heading2"/>
      </w:pPr>
      <w:r>
        <w:t>Afghanistan: incremental upgrades and mission-specific digital coordination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US Army's Joint Capabilities Release/JBC-P upgrade in Afghanistan illustrates practical fleet rollout rather than universal adoption: an Army report described upgrades for 275 vehicles and 32 tactical operations centre kits by February 2013 [15]. Years later, a TAK-based portal reportedly supported operators during the 2021 Afghanistan evacuation, showing the value of rapidly assembled, mission-specific situational-awareness tools [16].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SENTINEL LESSON  </w:t>
      </w:r>
      <w:r>
        <w:rPr>
          <w:rFonts w:ascii="Calibri" w:hAnsi="Calibri"/>
          <w:b w:val="0"/>
          <w:i w:val="0"/>
          <w:color w:val="1E293B"/>
          <w:sz w:val="21"/>
        </w:rPr>
        <w:t>Ship adapters and kits in useful increments. Support manual/operator-sourced events and temporary partner interfaces instead of assuming every platform arrives digitally integrated.</w:t>
      </w:r>
    </w:p>
    <w:p>
      <w:pPr>
        <w:pStyle w:val="Heading2"/>
      </w:pPr>
      <w:r>
        <w:t>Ukraine: software-defined C2 at scale, under electronic attack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Ukraine's DELTA system is publicly described as a combat-proven situational-awareness and mission-management environment used across defence-force levels. Ukrainian and NATO sources describe integration of sensors, trackers, radars, satellites, UAV and fixed-camera streams, and robotic systems, with access from ordinary computing devices [17][18]. A January 2025 announcement said DELTA Mission Control was being used by more than 300 units for roughly 900 missions per day and had supported more than 200,000 missions [19].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same war demonstrates the fragility of communications. RUSI reporting documents heavy dependence on commercial satellite connectivity, jamming and cyber attacks, and the danger of radio-frequency geolocation [20][21][22]. Tactical systems such as Kropyva and GIS Arta are also cited in public analysis as part of a distributed digital fires and coordination ecosystem [23].</w:t>
      </w:r>
    </w:p>
    <w:p>
      <w:pPr>
        <w:spacing w:before="12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1"/>
        </w:rPr>
        <w:t xml:space="preserve">SENTINEL LESSON  </w:t>
      </w:r>
      <w:r>
        <w:rPr>
          <w:rFonts w:ascii="Calibri" w:hAnsi="Calibri"/>
          <w:b w:val="0"/>
          <w:i w:val="0"/>
          <w:color w:val="1E293B"/>
          <w:sz w:val="21"/>
        </w:rPr>
        <w:t>The realistic product is a distributed, multi-source picture that survives disruption, not a permanently synchronized cloud dashboard. Commercial and tactical bearers can be powerful, but neither availability nor concealment is guaranteed.</w:t>
      </w:r>
    </w:p>
    <w:p>
      <w:pPr>
        <w:pStyle w:val="Heading2"/>
      </w:pPr>
      <w:r>
        <w:t>Cross-case synthesis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Observed pattern</w:t>
            </w:r>
          </w:p>
        </w:tc>
        <w:tc>
          <w:tcPr>
            <w:tcW w:type="dxa" w:w="3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Evidence across cases</w:t>
            </w:r>
          </w:p>
        </w:tc>
        <w:tc>
          <w:tcPr>
            <w:tcW w:type="dxa" w:w="3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Sentinel requirement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Partial deployment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Different units and vehicles receive different kits and versions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Unknown/unintegrated assets and manual reports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Mixed bearers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Satellite, tactical radio, cellular/commercial, and local networks coexist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Transport-agnostic gateway and route visibility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Stale data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Update intervals and outages make the picture lag reality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Age, uncertainty growth, ghosting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Interoperability gaps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Multiple systems require gateways or improvised bridges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Canonical model and narrow adapters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EW/cyber pressure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Jamming, geolocation, service disruption, and compromise are credible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Silence, degradation, revocation, local autonomy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High operational value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Navigation, coordination, targeting workflow, and reduced voice burden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Preserve essential state and tasking under constraint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8. MVP demonstration and acceptance criteria</w:t>
      </w:r>
    </w:p>
    <w:p>
      <w:pPr>
        <w:spacing w:after="120"/>
      </w:pPr>
      <w:r>
        <w:rPr>
          <w:rFonts w:ascii="Calibri" w:hAnsi="Calibri"/>
          <w:b w:val="0"/>
          <w:i w:val="0"/>
          <w:color w:val="1E293B"/>
          <w:sz w:val="22"/>
        </w:rPr>
        <w:t>The demonstration should prove that Sentinel behaves honestly when the network and sources are imperfect. The sensor simulator must be a separate process connected through the same edge gateway contract intended for real sensors and drones.</w:t>
      </w:r>
    </w:p>
    <w:p>
      <w:pPr>
        <w:pStyle w:val="Heading2"/>
      </w:pPr>
      <w:r>
        <w:t>Three-scene demo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1. Connected baseline. </w:t>
      </w:r>
      <w:r>
        <w:rPr>
          <w:rFonts w:ascii="Calibri" w:hAnsi="Calibri"/>
          <w:b w:val="0"/>
          <w:i w:val="0"/>
          <w:color w:val="1E293B"/>
          <w:sz w:val="22"/>
        </w:rPr>
        <w:t>Gazebo UAV, simulated radar/RF/EO events, and an ambulance/ground vehicle publish through the edge gateway. The UI shows source, freshness, confidence, readiness, and link state.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2. Jamming and partition. </w:t>
      </w:r>
      <w:r>
        <w:rPr>
          <w:rFonts w:ascii="Calibri" w:hAnsi="Calibri"/>
          <w:b w:val="0"/>
          <w:i w:val="0"/>
          <w:color w:val="1E293B"/>
          <w:sz w:val="22"/>
        </w:rPr>
        <w:t>Latency and packet loss rise; one asset enters emissions-restricted mode; another disconnects. Sentinel grows uncertainty, expires a command, buffers useful events, and avoids showing frozen certainty.</w:t>
      </w:r>
    </w:p>
    <w:p>
      <w:pPr>
        <w:spacing w:after="160"/>
      </w:pPr>
      <w:r>
        <w:rPr>
          <w:rFonts w:ascii="Calibri" w:hAnsi="Calibri"/>
          <w:b/>
          <w:i w:val="0"/>
          <w:color w:val="17365D"/>
          <w:sz w:val="22"/>
        </w:rPr>
        <w:t xml:space="preserve">3. Recovery and trust fault. </w:t>
      </w:r>
      <w:r>
        <w:rPr>
          <w:rFonts w:ascii="Calibri" w:hAnsi="Calibri"/>
          <w:b w:val="0"/>
          <w:i w:val="0"/>
          <w:color w:val="1E293B"/>
          <w:sz w:val="22"/>
        </w:rPr>
        <w:t>The link returns and the queue drains with original observation times. A conflicting identity or impossible jump triggers suspected-compromise treatment and prevents automatic tasking.</w:t>
      </w:r>
    </w:p>
    <w:p>
      <w:pPr>
        <w:pStyle w:val="Heading2"/>
      </w:pPr>
      <w:r>
        <w:t>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Gate</w:t>
            </w:r>
          </w:p>
        </w:tc>
        <w:tc>
          <w:tcPr>
            <w:tcW w:type="dxa" w:w="7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Contract parity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Real, replay, Gazebo, and synthetic adapters produce the same validated canonical envelopes.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Truth isolation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The UI never reads simulator ground truth directly.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 semantics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Observed and received times remain distinct through buffering and replay.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Degradation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Loss, delay, reordering, duplication, time skew, and recovery are visible and testable.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Command safety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Commands have authority, expiry, acknowledgement, and disconnected behavior.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Data minimization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Raw point clouds, vehicle buses, and unrequested clinical data do not enter the core C2 stream.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Protocol restraint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Only the three must-have interfaces are implemented without a named conditional integration.</w:t>
            </w:r>
          </w:p>
        </w:tc>
      </w:tr>
      <w:tr>
        <w:trPr>
          <w:cantSplit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Operator honesty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Every asset/track view exposes freshness, confidence, provenance, and link state.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Implementation order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Freeze canonical schemas and connectivity semantics.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Finish the standalone sensor simulator and NDJSON capture/replay path.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Implement the edge gateway lifecycle, buffering, validation, and health telemetry.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Add MAVLink 2 telemetry and command acknowledgement against a software-in-the-loop vehicle.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Update the UI for staleness, uncertainty, emissions restriction, and suspected compromise.</w:t>
      </w:r>
    </w:p>
    <w:p>
      <w:pPr>
        <w:spacing w:after="160"/>
        <w:numPr>
          <w:ilvl w:val="0"/>
          <w:numId w:val="13"/>
        </w:numPr>
      </w:pPr>
      <w:r>
        <w:rPr>
          <w:rFonts w:ascii="Calibri" w:hAnsi="Calibri"/>
          <w:b w:val="0"/>
          <w:i w:val="0"/>
          <w:color w:val="1E293B"/>
          <w:sz w:val="22"/>
        </w:rPr>
        <w:t>Add one conditional real-sensor adapter only after selecting the actual demo hardware.</w:t>
      </w:r>
    </w:p>
    <w:p>
      <w:pPr>
        <w:spacing w:before="120" w:after="200" w:line="276" w:lineRule="auto"/>
        <w:ind w:left="173" w:right="115"/>
        <w:shd w:fill="FFF8E8"/>
        <w:pBdr>
          <w:left w:val="single" w:sz="18" w:space="8" w:color="B78103"/>
        </w:pBdr>
      </w:pPr>
      <w:r>
        <w:rPr>
          <w:rFonts w:ascii="Calibri" w:hAnsi="Calibri"/>
          <w:b/>
          <w:i w:val="0"/>
          <w:color w:val="B78103"/>
          <w:sz w:val="21"/>
        </w:rPr>
        <w:t xml:space="preserve">BOTTOM LINE  </w:t>
      </w:r>
      <w:r>
        <w:rPr>
          <w:rFonts w:ascii="Calibri" w:hAnsi="Calibri"/>
          <w:b w:val="0"/>
          <w:i w:val="0"/>
          <w:color w:val="1E293B"/>
          <w:sz w:val="21"/>
        </w:rPr>
        <w:t>Vehicle-connected C2 is not a fairytale. The fairytale is pretending connectivity is universal, continuous, and tactically free. Sentinel should make uncertainty and network reality part of the product.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Appendix A. Source register</w:t>
      </w:r>
    </w:p>
    <w:p>
      <w:pPr>
        <w:spacing w:after="120"/>
      </w:pPr>
      <w:r>
        <w:rPr>
          <w:rFonts w:ascii="Calibri" w:hAnsi="Calibri"/>
          <w:b w:val="0"/>
          <w:i/>
          <w:color w:val="1E293B"/>
          <w:sz w:val="22"/>
        </w:rPr>
        <w:t>Public sources used to benchmark platform roles, sensor suites, interoperability, and battlefield deployments. Vendor claims are treated as descriptions of stated capability, not independent performance validation.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[1] </w:t>
      </w:r>
      <w:hyperlink r:id="rId11">
        <w:r>
          <w:rPr>
            <w:rFonts w:ascii="Calibri" w:hAnsi="Calibri"/>
            <w:color w:val="2E74B5"/>
            <w:u w:val="single"/>
            <w:sz w:val="18"/>
            <w:szCs w:val="18"/>
          </w:rPr>
          <w:t>US Air Force - MQ-9 Reaper fact sheet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Public payload and mission-system overview.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[2] </w:t>
      </w:r>
      <w:hyperlink r:id="rId12">
        <w:r>
          <w:rPr>
            <w:rFonts w:ascii="Calibri" w:hAnsi="Calibri"/>
            <w:color w:val="2E74B5"/>
            <w:u w:val="single"/>
            <w:sz w:val="18"/>
            <w:szCs w:val="18"/>
          </w:rPr>
          <w:t>Lockheed Martin - F-35 Mission Systems design and verification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Integrated mission-system architecture and sensor functions.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[3] </w:t>
      </w:r>
      <w:hyperlink r:id="rId13">
        <w:r>
          <w:rPr>
            <w:rFonts w:ascii="Calibri" w:hAnsi="Calibri"/>
            <w:color w:val="2E74B5"/>
            <w:u w:val="single"/>
            <w:sz w:val="18"/>
            <w:szCs w:val="18"/>
          </w:rPr>
          <w:t>US Army - VICTORY open systems architecture for fighting vehicles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Vehicle integration and shared data/service approach.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[4] </w:t>
      </w:r>
      <w:hyperlink r:id="rId14">
        <w:r>
          <w:rPr>
            <w:rFonts w:ascii="Calibri" w:hAnsi="Calibri"/>
            <w:color w:val="2E74B5"/>
            <w:u w:val="single"/>
            <w:sz w:val="18"/>
            <w:szCs w:val="18"/>
          </w:rPr>
          <w:t>Auterion - Skynode peripheral integration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Onboard mission-computer and peripheral interfaces.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[5] </w:t>
      </w:r>
      <w:hyperlink r:id="rId15">
        <w:r>
          <w:rPr>
            <w:rFonts w:ascii="Calibri" w:hAnsi="Calibri"/>
            <w:color w:val="2E74B5"/>
            <w:u w:val="single"/>
            <w:sz w:val="18"/>
            <w:szCs w:val="18"/>
          </w:rPr>
          <w:t>MAVLink - Common message set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Public UAV telemetry and command vocabulary.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[6] </w:t>
      </w:r>
      <w:hyperlink r:id="rId16">
        <w:r>
          <w:rPr>
            <w:rFonts w:ascii="Calibri" w:hAnsi="Calibri"/>
            <w:color w:val="2E74B5"/>
            <w:u w:val="single"/>
            <w:sz w:val="18"/>
            <w:szCs w:val="18"/>
          </w:rPr>
          <w:t>Anduril - Lattice entities overview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Public entity-model integration guidance.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[7] </w:t>
      </w:r>
      <w:hyperlink r:id="rId17">
        <w:r>
          <w:rPr>
            <w:rFonts w:ascii="Calibri" w:hAnsi="Calibri"/>
            <w:color w:val="2E74B5"/>
            <w:u w:val="single"/>
            <w:sz w:val="18"/>
            <w:szCs w:val="18"/>
          </w:rPr>
          <w:t>Picogrid - Orion API getting started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Public API entry point for the edge/C2 platform.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[8] </w:t>
      </w:r>
      <w:hyperlink r:id="rId18">
        <w:r>
          <w:rPr>
            <w:rFonts w:ascii="Calibri" w:hAnsi="Calibri"/>
            <w:color w:val="2E74B5"/>
            <w:u w:val="single"/>
            <w:sz w:val="18"/>
            <w:szCs w:val="18"/>
          </w:rPr>
          <w:t>Picogrid - Echodyne partner integration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Example radar ecosystem integration.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[9] </w:t>
      </w:r>
      <w:hyperlink r:id="rId19">
        <w:r>
          <w:rPr>
            <w:rFonts w:ascii="Calibri" w:hAnsi="Calibri"/>
            <w:color w:val="2E74B5"/>
            <w:u w:val="single"/>
            <w:sz w:val="18"/>
            <w:szCs w:val="18"/>
          </w:rPr>
          <w:t>UK Government - SAPIENT autonomous sensor system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Open autonomous sensor/effector integration standard.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[10] </w:t>
      </w:r>
      <w:hyperlink r:id="rId20">
        <w:r>
          <w:rPr>
            <w:rFonts w:ascii="Calibri" w:hAnsi="Calibri"/>
            <w:color w:val="2E74B5"/>
            <w:u w:val="single"/>
            <w:sz w:val="18"/>
            <w:szCs w:val="18"/>
          </w:rPr>
          <w:t>ONVIF - Profile T specification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Standardized IP video streaming and control profile.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[11] </w:t>
      </w:r>
      <w:hyperlink r:id="rId21">
        <w:r>
          <w:rPr>
            <w:rFonts w:ascii="Calibri" w:hAnsi="Calibri"/>
            <w:color w:val="2E74B5"/>
            <w:u w:val="single"/>
            <w:sz w:val="18"/>
            <w:szCs w:val="18"/>
          </w:rPr>
          <w:t>MITRE - Cursor on Target overview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Tactical event exchange background.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[12] </w:t>
      </w:r>
      <w:hyperlink r:id="rId22">
        <w:r>
          <w:rPr>
            <w:rFonts w:ascii="Calibri" w:hAnsi="Calibri"/>
            <w:color w:val="2E74B5"/>
            <w:u w:val="single"/>
            <w:sz w:val="18"/>
            <w:szCs w:val="18"/>
          </w:rPr>
          <w:t>US Army Armor - Blue Force Tracking in Operation Iraqi Freedom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Contemporary field observations, scale, benefits, and constraints.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[13] </w:t>
      </w:r>
      <w:hyperlink r:id="rId23">
        <w:r>
          <w:rPr>
            <w:rFonts w:ascii="Calibri" w:hAnsi="Calibri"/>
            <w:color w:val="2E74B5"/>
            <w:u w:val="single"/>
            <w:sz w:val="18"/>
            <w:szCs w:val="18"/>
          </w:rPr>
          <w:t>RAND - 3/2 Stryker Brigade Combat Team in Iraq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Operational movement and communications mix.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[14] </w:t>
      </w:r>
      <w:hyperlink r:id="rId24">
        <w:r>
          <w:rPr>
            <w:rFonts w:ascii="Calibri" w:hAnsi="Calibri"/>
            <w:color w:val="2E74B5"/>
            <w:u w:val="single"/>
            <w:sz w:val="18"/>
            <w:szCs w:val="18"/>
          </w:rPr>
          <w:t>US GAO - Battlefield automation interoperability in Operation Iraqi Freedom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Incompatible tracking systems and interoperability findings.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[15] </w:t>
      </w:r>
      <w:hyperlink r:id="rId25">
        <w:r>
          <w:rPr>
            <w:rFonts w:ascii="Calibri" w:hAnsi="Calibri"/>
            <w:color w:val="2E74B5"/>
            <w:u w:val="single"/>
            <w:sz w:val="18"/>
            <w:szCs w:val="18"/>
          </w:rPr>
          <w:t>US Army - Blue Force Tracking upgrade in Afghanistan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Vehicle and TOC kit rollout figures.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[16] </w:t>
      </w:r>
      <w:hyperlink r:id="rId26">
        <w:r>
          <w:rPr>
            <w:rFonts w:ascii="Calibri" w:hAnsi="Calibri"/>
            <w:color w:val="2E74B5"/>
            <w:u w:val="single"/>
            <w:sz w:val="18"/>
            <w:szCs w:val="18"/>
          </w:rPr>
          <w:t>US Air Force Research Laboratory - TAK support during Afghanistan evacuation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Mission-specific digital coordination case.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[17] </w:t>
      </w:r>
      <w:hyperlink r:id="rId27">
        <w:r>
          <w:rPr>
            <w:rFonts w:ascii="Calibri" w:hAnsi="Calibri"/>
            <w:color w:val="2E74B5"/>
            <w:u w:val="single"/>
            <w:sz w:val="18"/>
            <w:szCs w:val="18"/>
          </w:rPr>
          <w:t>Ukraine Ministry of Defence - DELTA deployed across defence-force levels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Official description of deployment and combat use.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[18] </w:t>
      </w:r>
      <w:hyperlink r:id="rId28">
        <w:r>
          <w:rPr>
            <w:rFonts w:ascii="Calibri" w:hAnsi="Calibri"/>
            <w:color w:val="2E74B5"/>
            <w:u w:val="single"/>
            <w:sz w:val="18"/>
            <w:szCs w:val="18"/>
          </w:rPr>
          <w:t>NATO ACT - DELTA at CWIX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Interoperability and multi-source integration description.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[19] </w:t>
      </w:r>
      <w:hyperlink r:id="rId29">
        <w:r>
          <w:rPr>
            <w:rFonts w:ascii="Calibri" w:hAnsi="Calibri"/>
            <w:color w:val="2E74B5"/>
            <w:u w:val="single"/>
            <w:sz w:val="18"/>
            <w:szCs w:val="18"/>
          </w:rPr>
          <w:t>Ukraine Ministry of Defence - DELTA Mission Control adoption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Published usage and mission figures.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[20] </w:t>
      </w:r>
      <w:hyperlink r:id="rId30">
        <w:r>
          <w:rPr>
            <w:rFonts w:ascii="Calibri" w:hAnsi="Calibri"/>
            <w:color w:val="2E74B5"/>
            <w:u w:val="single"/>
            <w:sz w:val="18"/>
            <w:szCs w:val="18"/>
          </w:rPr>
          <w:t>RUSI - Preliminary lessons from Russia's war in Ukraine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Communications, commercial satellite dependence, and operational lessons.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[21] </w:t>
      </w:r>
      <w:hyperlink r:id="rId31">
        <w:r>
          <w:rPr>
            <w:rFonts w:ascii="Calibri" w:hAnsi="Calibri"/>
            <w:color w:val="2E74B5"/>
            <w:u w:val="single"/>
            <w:sz w:val="18"/>
            <w:szCs w:val="18"/>
          </w:rPr>
          <w:t>RUSI - Jamming and cyber attacks against space services in Ukraine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Jamming and cyber disruption examples.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[22] </w:t>
      </w:r>
      <w:hyperlink r:id="rId32">
        <w:r>
          <w:rPr>
            <w:rFonts w:ascii="Calibri" w:hAnsi="Calibri"/>
            <w:color w:val="2E74B5"/>
            <w:u w:val="single"/>
            <w:sz w:val="18"/>
            <w:szCs w:val="18"/>
          </w:rPr>
          <w:t>RUSI - Russian communications and the world of hertz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Radio-frequency detection and geolocation risk.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[23] </w:t>
      </w:r>
      <w:hyperlink r:id="rId33">
        <w:r>
          <w:rPr>
            <w:rFonts w:ascii="Calibri" w:hAnsi="Calibri"/>
            <w:color w:val="2E74B5"/>
            <w:u w:val="single"/>
            <w:sz w:val="18"/>
            <w:szCs w:val="18"/>
          </w:rPr>
          <w:t>RUSI - Tactical developments in the third year of the Russo-Ukrainian War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Public analysis of tactical digital systems and adaptation.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[24] </w:t>
      </w:r>
      <w:hyperlink r:id="rId34">
        <w:r>
          <w:rPr>
            <w:rFonts w:ascii="Calibri" w:hAnsi="Calibri"/>
            <w:color w:val="2E74B5"/>
            <w:u w:val="single"/>
            <w:sz w:val="18"/>
            <w:szCs w:val="18"/>
          </w:rPr>
          <w:t>NATO - Electronic warfare in a contested environment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Alliance-level electronic-warfare context.</w:t>
      </w:r>
    </w:p>
    <w:p>
      <w:pPr>
        <w:spacing w:after="60" w:line="240" w:lineRule="auto"/>
        <w:ind w:left="403" w:hanging="403"/>
      </w:pPr>
      <w:r>
        <w:rPr>
          <w:rFonts w:ascii="Calibri" w:hAnsi="Calibri"/>
          <w:b/>
          <w:i w:val="0"/>
          <w:color w:val="17365D"/>
          <w:sz w:val="18"/>
        </w:rPr>
        <w:t xml:space="preserve">[25] </w:t>
      </w:r>
      <w:hyperlink r:id="rId35">
        <w:r>
          <w:rPr>
            <w:rFonts w:ascii="Calibri" w:hAnsi="Calibri"/>
            <w:color w:val="2E74B5"/>
            <w:u w:val="single"/>
            <w:sz w:val="18"/>
            <w:szCs w:val="18"/>
          </w:rPr>
          <w:t>Ukraine Ministry of Defence - DELTA cloud and cyber architecture</w:t>
        </w:r>
      </w:hyperlink>
      <w:r>
        <w:rPr>
          <w:rFonts w:ascii="Calibri" w:hAnsi="Calibri"/>
          <w:b w:val="0"/>
          <w:i w:val="0"/>
          <w:color w:val="1E293B"/>
          <w:sz w:val="18"/>
        </w:rPr>
        <w:t>. Official discussion of DELTA development and infrastructure.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4748B"/>
        <w:sz w:val="17"/>
      </w:rPr>
      <w:t xml:space="preserve">Sentinel MVP architecture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4748B"/>
        <w:sz w:val="17"/>
      </w:rPr>
      <w:t>SENTINEL  /  RESEARCH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f.mil/About-Us/Fact-Sheets/Display/Article/104470/mq-9-reaper/" TargetMode="External"/><Relationship Id="rId12" Type="http://schemas.openxmlformats.org/officeDocument/2006/relationships/hyperlink" Target="https://sustainability.lockheedmartin.com/content/dam/lockheed-martin/eo/documents/webt/F-35_Mission_Systems_Design_Development_and_Verification.pdf" TargetMode="External"/><Relationship Id="rId13" Type="http://schemas.openxmlformats.org/officeDocument/2006/relationships/hyperlink" Target="https://www.army.mil/article/210117/reusable_and_refresh_able_open_systems_architecture_for_fighting_vehicles" TargetMode="External"/><Relationship Id="rId14" Type="http://schemas.openxmlformats.org/officeDocument/2006/relationships/hyperlink" Target="https://docs.auterion.com/hardware-integration/skynode/peripherals" TargetMode="External"/><Relationship Id="rId15" Type="http://schemas.openxmlformats.org/officeDocument/2006/relationships/hyperlink" Target="https://mavlink.io/en/messages/common" TargetMode="External"/><Relationship Id="rId16" Type="http://schemas.openxmlformats.org/officeDocument/2006/relationships/hyperlink" Target="https://developer.anduril.com/guides/entities/overview" TargetMode="External"/><Relationship Id="rId17" Type="http://schemas.openxmlformats.org/officeDocument/2006/relationships/hyperlink" Target="https://docs.picogrid.com/reference/getting-started-with-orion" TargetMode="External"/><Relationship Id="rId18" Type="http://schemas.openxmlformats.org/officeDocument/2006/relationships/hyperlink" Target="https://picogrid.com/newsroom/picogrid-adds-echodyne-to-its-partner-ecosystem" TargetMode="External"/><Relationship Id="rId19" Type="http://schemas.openxmlformats.org/officeDocument/2006/relationships/hyperlink" Target="https://www.gov.uk/guidance/sapient-autonomous-sensor-system" TargetMode="External"/><Relationship Id="rId20" Type="http://schemas.openxmlformats.org/officeDocument/2006/relationships/hyperlink" Target="https://www.onvif.org/profiles/profile-t/" TargetMode="External"/><Relationship Id="rId21" Type="http://schemas.openxmlformats.org/officeDocument/2006/relationships/hyperlink" Target="https://www.mitre.org/news-insights/publication/cursor-target" TargetMode="External"/><Relationship Id="rId22" Type="http://schemas.openxmlformats.org/officeDocument/2006/relationships/hyperlink" Target="https://www.benning.army.mil/armor/eARMOR/content/issues/2003/SEP_OCT/ArmorSeptemberOctober2003web.pdf" TargetMode="External"/><Relationship Id="rId23" Type="http://schemas.openxmlformats.org/officeDocument/2006/relationships/hyperlink" Target="https://www.rand.org/content/dam/rand/pubs/monographs/2007/RAND_MG593.pdf" TargetMode="External"/><Relationship Id="rId24" Type="http://schemas.openxmlformats.org/officeDocument/2006/relationships/hyperlink" Target="https://www.gao.gov/assets/gao-04-547.pdf" TargetMode="External"/><Relationship Id="rId25" Type="http://schemas.openxmlformats.org/officeDocument/2006/relationships/hyperlink" Target="https://www.army.mil/article/96438/army_upgrades_blue_force_tracking_in_afghanistan_to_prepare_for_new_network" TargetMode="External"/><Relationship Id="rId26" Type="http://schemas.openxmlformats.org/officeDocument/2006/relationships/hyperlink" Target="https://www.afrl.af.mil/News/Article-Display/Article/3360125/afrl-technology-aids-operators-during-afghanistan-evacuation/" TargetMode="External"/><Relationship Id="rId27" Type="http://schemas.openxmlformats.org/officeDocument/2006/relationships/hyperlink" Target="https://mod.gov.ua/en/news/the-delta-combat-system-has-been-deployed-across-all-levels-of-defence-forces-of-ukraine" TargetMode="External"/><Relationship Id="rId28" Type="http://schemas.openxmlformats.org/officeDocument/2006/relationships/hyperlink" Target="https://www.act.nato.int/article/delta-system-cwix/" TargetMode="External"/><Relationship Id="rId29" Type="http://schemas.openxmlformats.org/officeDocument/2006/relationships/hyperlink" Target="https://mod.gov.ua/en/news/kateryna-chernohorenko-the-mission-control-module-is-now-accessible-to-all-delta-users" TargetMode="External"/><Relationship Id="rId30" Type="http://schemas.openxmlformats.org/officeDocument/2006/relationships/hyperlink" Target="https://static.rusi.org/special-report-202207-ukraine-final-web_0.pdf" TargetMode="External"/><Relationship Id="rId31" Type="http://schemas.openxmlformats.org/officeDocument/2006/relationships/hyperlink" Target="https://www.rusi.org/explore-our-research/publications/commentary/jamming-and-cyber-attacks-how-space-being-targeted-ukraine" TargetMode="External"/><Relationship Id="rId32" Type="http://schemas.openxmlformats.org/officeDocument/2006/relationships/hyperlink" Target="https://www.rusi.org/explore-our-research/publications/commentary/russian-comms-ukraine-world-hertz" TargetMode="External"/><Relationship Id="rId33" Type="http://schemas.openxmlformats.org/officeDocument/2006/relationships/hyperlink" Target="https://static.rusi.org/tactical-developments-third-year-russo-ukrainian-war-february-2205.pdf" TargetMode="External"/><Relationship Id="rId34" Type="http://schemas.openxmlformats.org/officeDocument/2006/relationships/hyperlink" Target="https://www.nato.int/cps/en/natohq/news_230917.htm" TargetMode="External"/><Relationship Id="rId35" Type="http://schemas.openxmlformats.org/officeDocument/2006/relationships/hyperlink" Target="https://mod.gov.ua/en/news/dou-day-2024-conference-ukrainian-developers-presented-delta-combat-system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Vehicle and Sensor Integration</dc:title>
  <dc:subject>MVP protocol scope, data model, emissions risk, and combat case studies</dc:subject>
  <dc:creator>Sentinel Project Team</dc:creator>
  <cp:keywords>Sentinel, C2, edge gateway, sensors, UAV, MAVLink, battlefield networking</cp:keywords>
  <dc:description>Research synthesis for MVP architecture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