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1% Battery 核心设计决策与技术取舍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sz w:val="24"/>
        </w:rPr>
        <w:t>北师港浸会 AI 赛道编程马拉松 · 工程与社会价值方向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一、项目概述与设计目标</w:t>
      </w:r>
    </w:p>
    <w:p>
      <w:r>
        <w:rPr>
          <w:rFonts w:ascii="Times New Roman" w:hAnsi="Times New Roman" w:eastAsia="宋体"/>
          <w:b w:val="0"/>
          <w:sz w:val="24"/>
        </w:rPr>
        <w:t>1% Battery 是一个纯静态、零依赖、可离线运行的交互式网页作品，以灾后或徒步求救为情境：手机仅剩 1% 电量，可用信道是一条受损窄带。作品的设计目标不是“把数据压到最小”，而是回答一个工程问题——在带宽、能量、算力、在线性同时受限的条件下，如何让一条信息真正送达并产生行动。</w:t>
      </w:r>
    </w:p>
    <w:p>
      <w:r>
        <w:rPr>
          <w:rFonts w:ascii="Times New Roman" w:hAnsi="Times New Roman" w:eastAsia="宋体"/>
          <w:b w:val="0"/>
          <w:sz w:val="24"/>
        </w:rPr>
        <w:t>为此作品设定了两条主线：其一，所有算法从零实现且可编码、可解码、可自证正确；其二，所有对比数据在评委自己的设备上实时计算、固定种子可复现，并明确区分“实测”与“模型估算”。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二、所选资源约束（口径声明）</w:t>
      </w:r>
    </w:p>
    <w:p>
      <w:r>
        <w:rPr>
          <w:rFonts w:ascii="Times New Roman" w:hAnsi="Times New Roman" w:eastAsia="宋体"/>
          <w:b w:val="0"/>
          <w:sz w:val="24"/>
        </w:rPr>
        <w:t>作品显式声明并真实模拟以下资源约束，全部参数均可在界面中调整：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381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约束类别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取值范围（默认值）</w:t>
            </w:r>
          </w:p>
        </w:tc>
        <w:tc>
          <w:tcPr>
            <w:tcW w:type="dxa" w:w="3288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极端窄带（主约束）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100–2400 bps（600 bps）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带宽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丢包 0–50%（30%）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单包丢失概率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RTT 100–2500 ms（1500 ms）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停等往返时延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包载荷 16–128 B（32 B）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每包最大字节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能量预算（主约束）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5–410 J（30 J）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1% 电量约 410 J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旧设备算力（次约束）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编解码耗时实测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亚毫秒级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离线可用（次约束）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19 个文件 / 约 146 KB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Service Worker 预缓存</w:t>
            </w:r>
          </w:p>
        </w:tc>
      </w:tr>
    </w:tbl>
    <w:p>
      <w:pPr>
        <w:spacing w:before="40" w:after="160"/>
        <w:jc w:val="center"/>
        <w:ind w:firstLineChars="0" w:firstLine="0"/>
      </w:pPr>
      <w:r>
        <w:rPr>
          <w:rFonts w:ascii="Times New Roman" w:hAnsi="Times New Roman" w:eastAsia="宋体"/>
          <w:b w:val="0"/>
          <w:sz w:val="21"/>
        </w:rPr>
        <w:t>表1 资源约束口径（与 README、应用界面一致）</w:t>
      </w:r>
    </w:p>
    <w:p>
      <w:r>
        <w:rPr>
          <w:rFonts w:ascii="Times New Roman" w:hAnsi="Times New Roman" w:eastAsia="宋体"/>
          <w:b w:val="0"/>
          <w:sz w:val="24"/>
        </w:rPr>
        <w:t>能量模型基于常见锂电池规格：3.8 V 乘以 3000 mAh 约 41 kJ，1% 约 410 J；功耗系数取无线电 0.8 W、屏幕 0.4 W、CPU 0.3 W，属公开资料的数量级估计，界面中焦耳数值一律标注“模型估算”。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三、六项核心设计决策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决策一：分层协议优先于单包压缩</w:t>
      </w:r>
    </w:p>
    <w:p>
      <w:r>
        <w:rPr>
          <w:rFonts w:ascii="Times New Roman" w:hAnsi="Times New Roman" w:eastAsia="宋体"/>
          <w:b w:val="0"/>
          <w:sz w:val="24"/>
        </w:rPr>
        <w:t>决策：把求救信息拆为 L0 信标、L1 定位、L2 详情三层，越靠前的层越短、越关键、独立可行动。L0 仅 5 字节，装下报文类型、数百米级粗坐标与严重度；L1 为 9 字节，携带时间戳与差分坐标；L2 为短语位与压缩文本。</w:t>
      </w:r>
    </w:p>
    <w:p>
      <w:r>
        <w:rPr>
          <w:rFonts w:ascii="Times New Roman" w:hAnsi="Times New Roman" w:eastAsia="宋体"/>
          <w:b w:val="0"/>
          <w:sz w:val="24"/>
        </w:rPr>
        <w:t>放弃的替代方案：把所有字段紧凑打成一个二进制包（作品中也实现了该方案作对照）。单体位打包虽小，但接收端必须拿到整包才能解析，丢一个包即全盘作废；分层协议让接收端在 3.13 秒即可凭 L0 派出救援队，而不必等待 21 秒后的完整报文。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决策二：位级打包，而不是字段名自描述</w:t>
      </w:r>
    </w:p>
    <w:p>
      <w:r>
        <w:rPr>
          <w:rFonts w:ascii="Times New Roman" w:hAnsi="Times New Roman" w:eastAsia="宋体"/>
          <w:b w:val="0"/>
          <w:sz w:val="24"/>
        </w:rPr>
        <w:t>决策：采用 MSB-first 位写入器，字段按位分配，坐标用定点数与差分编码，整数用 LEB128 变长表示。JSON 基线平均 287.6 字节，三层合计平均 85.9 字节，压缩 3.35 倍；其中决定生死的 L0 仅 5 字节，相对 JSON 为 57.5 倍。</w:t>
      </w:r>
    </w:p>
    <w:p>
      <w:r>
        <w:rPr>
          <w:rFonts w:ascii="Times New Roman" w:hAnsi="Times New Roman" w:eastAsia="宋体"/>
          <w:b w:val="0"/>
          <w:sz w:val="24"/>
        </w:rPr>
        <w:t>放弃的替代方案：继续使用 JSON 自描述文本。JSON 的字段名每次重发、中文按 UTF-8 占三字节，这些字节不带来任何信息增量；常规 App 习惯了“资源充足”，而本作品不为不增值的字节付费。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决策三：静态预装 Huffman，并诚实对照动态模型</w:t>
      </w:r>
    </w:p>
    <w:p>
      <w:r>
        <w:rPr>
          <w:rFonts w:ascii="Times New Roman" w:hAnsi="Times New Roman" w:eastAsia="宋体"/>
          <w:b w:val="0"/>
          <w:sz w:val="24"/>
        </w:rPr>
        <w:t>决策：L2 文本使用静态 Huffman 模型。模型由内置中英双语应急语料训练一次、规范化后作为418 字节常量随 App 预装，运行时零流量、零模型调用。</w:t>
      </w:r>
    </w:p>
    <w:p>
      <w:r>
        <w:rPr>
          <w:rFonts w:ascii="Times New Roman" w:hAnsi="Times New Roman" w:eastAsia="宋体"/>
          <w:b w:val="0"/>
          <w:sz w:val="24"/>
        </w:rPr>
        <w:t>放弃的替代方案：动态 Huffman（表头随消息发送）与通用 gzip。作品完整实现了动态方案并如实展示：在徒步场景中动态表头约 68 字节，单条短报文摊不平该成本；gzip 经原生 CompressionStream 对照，平均 270.2 字节，短报文同样摊不平流头与字典，且仍是不可分割的整块。把这两个对照也做出来，是为了不回避“静态模型是否真的更好”的追问。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决策四：共享应急短语词典</w:t>
      </w:r>
    </w:p>
    <w:p>
      <w:r>
        <w:rPr>
          <w:rFonts w:ascii="Times New Roman" w:hAnsi="Times New Roman" w:eastAsia="宋体"/>
          <w:b w:val="0"/>
          <w:sz w:val="24"/>
        </w:rPr>
        <w:t>决策：预置 16 条双语应急短语（如“有人重伤，急需医疗救助”“请保持信号，不要关机”），勾选一条只占用 1 个标志位，双方依靠共享词典还原。</w:t>
      </w:r>
    </w:p>
    <w:p>
      <w:r>
        <w:rPr>
          <w:rFonts w:ascii="Times New Roman" w:hAnsi="Times New Roman" w:eastAsia="宋体"/>
          <w:b w:val="0"/>
          <w:sz w:val="24"/>
        </w:rPr>
        <w:t>放弃的替代方案：把每句话逐字压缩传输。短句子在 Huffman 下仍要数十字节，而真正高频的应急表达数量有限，词典化是把“一次性成本”移出窄带的合理做法。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决策五：零依赖纯静态 PWA</w:t>
      </w:r>
    </w:p>
    <w:p>
      <w:r>
        <w:rPr>
          <w:rFonts w:ascii="Times New Roman" w:hAnsi="Times New Roman" w:eastAsia="宋体"/>
          <w:b w:val="0"/>
          <w:sz w:val="24"/>
        </w:rPr>
        <w:t>决策：原生 HTML、CSS 与 ES Module，零构建、零运行时框架、零第三方请求；柱状图、时间轴、Huffman 树均手写 SVG；Service Worker 预缓存全部 19 个文件，断网可用。</w:t>
      </w:r>
    </w:p>
    <w:p>
      <w:r>
        <w:rPr>
          <w:rFonts w:ascii="Times New Roman" w:hAnsi="Times New Roman" w:eastAsia="宋体"/>
          <w:b w:val="0"/>
          <w:sz w:val="24"/>
        </w:rPr>
        <w:t>放弃的替代方案：React 或 Vue 全家桶、第三方图表库与 CDN。框架在资源充足时提供开发效率，但“为 1% 而建”的应用应当加载即安装、体积即信心；作品整包约 146 KB，也让评委可以读懂与验证每一个字节。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决策六：确定性、可复现、口径透明</w:t>
      </w:r>
    </w:p>
    <w:p>
      <w:r>
        <w:rPr>
          <w:rFonts w:ascii="Times New Roman" w:hAnsi="Times New Roman" w:eastAsia="宋体"/>
          <w:b w:val="0"/>
          <w:sz w:val="24"/>
        </w:rPr>
        <w:t>决策：所有随机过程使用固定种子（mulberry32，种子 20261013），蒙特卡洛与解析期望并列交叉验证，基准结果可导出 JSON。</w:t>
      </w:r>
    </w:p>
    <w:p>
      <w:r>
        <w:rPr>
          <w:rFonts w:ascii="Times New Roman" w:hAnsi="Times New Roman" w:eastAsia="宋体"/>
          <w:b w:val="0"/>
          <w:sz w:val="24"/>
        </w:rPr>
        <w:t>放弃的替代方案：用无法复现的“演示数据”讲故事。作品把“实测”与“模型估算”分开标注，不做无法验证的承诺。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四、技术取舍总览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551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选择</w:t>
            </w:r>
          </w:p>
        </w:tc>
        <w:tc>
          <w:tcPr>
            <w:tcW w:type="dxa" w:w="3231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得到</w:t>
            </w:r>
          </w:p>
        </w:tc>
        <w:tc>
          <w:tcPr>
            <w:tcW w:type="dxa" w:w="3288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付出的代价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三层分级协议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L0 数秒内可行动、天然降级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协议设计与合并逻辑更复杂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位打包 + 定点差分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体积约为 JSON 的 30%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可读性下降，需位检视器辅助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静态 Huffman 预装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运行时零流量、短报文最优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语料外文本只保证可解码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短语共享词典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高频表达每位一条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依赖双方约定词典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零依赖静态 PWA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约 146 KB、可离线、可验证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放弃框架的开发便利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固定种子模拟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结果可复现、可交叉验证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不等同真实无线电测量</w:t>
            </w:r>
          </w:p>
        </w:tc>
      </w:tr>
    </w:tbl>
    <w:p>
      <w:pPr>
        <w:spacing w:before="40" w:after="160"/>
        <w:jc w:val="center"/>
        <w:ind w:firstLineChars="0" w:firstLine="0"/>
      </w:pPr>
      <w:r>
        <w:rPr>
          <w:rFonts w:ascii="Times New Roman" w:hAnsi="Times New Roman" w:eastAsia="宋体"/>
          <w:b w:val="0"/>
          <w:sz w:val="21"/>
        </w:rPr>
        <w:t>表2 关键技术取舍一览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五、对比数据验证</w:t>
      </w:r>
    </w:p>
    <w:p>
      <w:r>
        <w:rPr>
          <w:rFonts w:ascii="Times New Roman" w:hAnsi="Times New Roman" w:eastAsia="宋体"/>
          <w:b w:val="0"/>
          <w:sz w:val="24"/>
        </w:rPr>
        <w:t>以下数字来自 1000 条固定种子随机报文（Node v22）与 300 次蒙特卡洛模拟，同一口径在网页中也可现场复现：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JSON 整包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gzip</w:t>
            </w:r>
          </w:p>
        </w:tc>
        <w:tc>
          <w:tcPr>
            <w:tcW w:type="dxa" w:w="1531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单体位打包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三层合计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L0 信标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平均体积（B）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287.6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270.2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83.9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85.9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相对 JSON（倍）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1.00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1.06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3.43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3.35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57.52</w:t>
            </w:r>
          </w:p>
        </w:tc>
      </w:tr>
    </w:tbl>
    <w:p>
      <w:pPr>
        <w:spacing w:before="40" w:after="160"/>
        <w:jc w:val="center"/>
        <w:ind w:firstLineChars="0" w:firstLine="0"/>
      </w:pPr>
      <w:r>
        <w:rPr>
          <w:rFonts w:ascii="Times New Roman" w:hAnsi="Times New Roman" w:eastAsia="宋体"/>
          <w:b w:val="0"/>
          <w:sz w:val="21"/>
        </w:rPr>
        <w:t>表3 1000 条随机报文体积基准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948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弱网指标</w:t>
            </w:r>
          </w:p>
        </w:tc>
        <w:tc>
          <w:tcPr>
            <w:tcW w:type="dxa" w:w="3061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JSON 整包</w:t>
            </w:r>
          </w:p>
        </w:tc>
        <w:tc>
          <w:tcPr>
            <w:tcW w:type="dxa" w:w="3061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L0 信标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平均送达时间（s）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27.24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2.24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p50 / p95（s）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26.63 / 35.91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1.57 / 4.70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30 秒成功率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71.3%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100.0%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能量（模型，J）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32.69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2.69</w:t>
            </w:r>
          </w:p>
        </w:tc>
      </w:tr>
    </w:tbl>
    <w:p>
      <w:pPr>
        <w:spacing w:before="40" w:after="160"/>
        <w:jc w:val="center"/>
        <w:ind w:firstLineChars="0" w:firstLine="0"/>
      </w:pPr>
      <w:r>
        <w:rPr>
          <w:rFonts w:ascii="Times New Roman" w:hAnsi="Times New Roman" w:eastAsia="宋体"/>
          <w:b w:val="0"/>
          <w:sz w:val="21"/>
        </w:rPr>
        <w:t>表4 默认窄带下的送达表现（MC300）</w:t>
      </w:r>
    </w:p>
    <w:p>
      <w:r>
        <w:rPr>
          <w:rFonts w:ascii="Times New Roman" w:hAnsi="Times New Roman" w:eastAsia="宋体"/>
          <w:b w:val="0"/>
          <w:sz w:val="24"/>
        </w:rPr>
        <w:t>首个可行动情报提速约 12.2 倍；编解码均为亚毫秒级，说明方案的真正差距在字节与信道，而不在 CPU。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六、风险、局限与结论</w:t>
      </w:r>
    </w:p>
    <w:p>
      <w:r>
        <w:rPr>
          <w:rFonts w:ascii="Times New Roman" w:hAnsi="Times New Roman" w:eastAsia="宋体"/>
          <w:b w:val="0"/>
          <w:sz w:val="24"/>
        </w:rPr>
        <w:t>局限有三：其一，弱网与能量是模型化仿真，系数为公开数量级，不能替代真实链路测量；其二，静态 Huffman 针对应急语料训练，对语料外文本不保证最优压缩；其三，本作品是教学与演示型设计，并未实现真实无线电收发。</w:t>
      </w:r>
    </w:p>
    <w:p>
      <w:r>
        <w:rPr>
          <w:rFonts w:ascii="Times New Roman" w:hAnsi="Times New Roman" w:eastAsia="宋体"/>
          <w:b w:val="0"/>
          <w:sz w:val="24"/>
        </w:rPr>
        <w:t>结论：在显式声明的资源约束下，分层协议以约 30% 的体积、约 1/12 的时间、约 1/12 的能量，把最能改变行动的信息先送达，并支持逐层优雅降级。作品验证了核心主张——高效不只是更小，而是把对的信息在对的时刻送达。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  <w:ind w:firstLineChars="200"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 w:firstLineChars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ind w:firstLine="0" w:firstLineChars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ind w:firstLine="0" w:firstLineChars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 w:before="160"/>
      <w:ind w:firstLine="0" w:firstLineChars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