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F35B" w14:textId="77777777" w:rsidR="00B76533" w:rsidRDefault="00000000">
      <w:pPr>
        <w:pStyle w:val="Ttulo"/>
        <w:jc w:val="center"/>
      </w:pPr>
      <w:r>
        <w:t>Privación social y preparación ante inundaciones en Quito: una priorización parroquial con incertidumbre cuantificada</w:t>
      </w:r>
    </w:p>
    <w:p w14:paraId="02E3DE0D" w14:textId="77777777" w:rsidR="00B76533" w:rsidRDefault="00000000">
      <w:pPr>
        <w:jc w:val="center"/>
      </w:pPr>
      <w:r>
        <w:t>Wilson Gustavo Morales Lastra y Josseline Daniela Chávez Carpio</w:t>
      </w:r>
    </w:p>
    <w:p w14:paraId="7ACA5317" w14:textId="77777777" w:rsidR="00B76533" w:rsidRDefault="00000000">
      <w:r>
        <w:t>Códigos JEL: C45; C53; I32; Q54; R14</w:t>
      </w:r>
    </w:p>
    <w:p w14:paraId="3EE2864E" w14:textId="77777777" w:rsidR="00B76533" w:rsidRDefault="00000000">
      <w:r>
        <w:t>Palabras clave: inundaciones urbanas; preparación ante desastres; necesidades básicas insatisfechas; vulnerabilidad social; proceso puntual; Quito</w:t>
      </w:r>
    </w:p>
    <w:p w14:paraId="627AFD29" w14:textId="77777777" w:rsidR="00B76533" w:rsidRDefault="00000000">
      <w:pPr>
        <w:pStyle w:val="Ttulo1"/>
      </w:pPr>
      <w:r>
        <w:t>Resumen</w:t>
      </w:r>
    </w:p>
    <w:p w14:paraId="234EFFCA" w14:textId="77777777" w:rsidR="00B76533" w:rsidRDefault="00000000">
      <w:r>
        <w:rPr>
          <w:b/>
        </w:rPr>
        <w:t xml:space="preserve">Objetivo. </w:t>
      </w:r>
      <w:r>
        <w:t>Evaluar cómo cambia la prioridad territorial de preparación ante inundaciones en Quito cuando, además de la superficie susceptible, se considera la privación por necesidades básicas insatisfechas (NBI).</w:t>
      </w:r>
    </w:p>
    <w:p w14:paraId="28B79F75" w14:textId="77777777" w:rsidR="00B76533" w:rsidRDefault="00000000">
      <w:r>
        <w:rPr>
          <w:b/>
        </w:rPr>
        <w:t xml:space="preserve">Métodos. </w:t>
      </w:r>
      <w:r>
        <w:t>La susceptibilidad se estima con 331 reportes de inundación (2010–2025) mediante un proceso puntual con ancla loglineal y corrección neuronal acotada, se aplica a 2 993 619 píxeles construidos de 10 m y se pondera por la probabilidad de un trimestre húmedo (noviembre 2026–enero 2027) y por la tasa parroquial de hogares con NBI, recalculada desde microdatos del Censo 2022 y verificada con las cifras del INEC. Se evalúa la estabilidad frente a modelo, lluvia, umbral, presupuesto, unidad de medida y muestra de reportes (300 réplicas), y la discriminación con particiones temporal y espacial y con 2 572 eventos independientes del COE municipal.</w:t>
      </w:r>
    </w:p>
    <w:p w14:paraId="276D1263" w14:textId="77777777" w:rsidR="00B76533" w:rsidRDefault="00000000">
      <w:r>
        <w:rPr>
          <w:b/>
        </w:rPr>
        <w:t xml:space="preserve">Resultados. </w:t>
      </w:r>
      <w:r>
        <w:t>Incorporar el NBI cambia 2 de las 13 parroquias seleccionadas (Pomasqui y Tumbaco ingresan en lugar de Iñaquito y Kennedy), aumenta 1.48 % el índice social cubierto y reduce 3.10 % el área ponderada por lluvia. Solo cuatro parroquias (Guamaní, La Ecuatoriana, Conocoto y Amaguaña) son estables frente a modelo, lluvia y muestra; Pomasqui y Tumbaco ingresan en 23 % y 34 % de las réplicas. Dentro del construido, el 19.1 % de los eventos posteriores al entrenamiento cae en el 10 % superior (azar: 10 %).</w:t>
      </w:r>
    </w:p>
    <w:p w14:paraId="1E67335D" w14:textId="77777777" w:rsidR="00B76533" w:rsidRDefault="00000000">
      <w:r>
        <w:rPr>
          <w:b/>
        </w:rPr>
        <w:t xml:space="preserve">Conclusiones. </w:t>
      </w:r>
      <w:r>
        <w:t>La regla produce un orden relativo reproducible, con una cabeza robusta y un margen incierto; no estima probabilidad de inundación ni daños.</w:t>
      </w:r>
    </w:p>
    <w:p w14:paraId="782A30A0" w14:textId="77777777" w:rsidR="00B76533" w:rsidRDefault="00000000">
      <w:pPr>
        <w:pStyle w:val="Ttulo1"/>
      </w:pPr>
      <w:r>
        <w:t>Abstract</w:t>
      </w:r>
    </w:p>
    <w:p w14:paraId="05987306" w14:textId="77777777" w:rsidR="00B76533" w:rsidRDefault="00000000">
      <w:r>
        <w:rPr>
          <w:b/>
        </w:rPr>
        <w:t xml:space="preserve">Objective. </w:t>
      </w:r>
      <w:r>
        <w:t>To assess how the territorial priority for flood preparedness in Quito changes when unmet basic needs (UBN) are considered in addition to susceptible area.</w:t>
      </w:r>
    </w:p>
    <w:p w14:paraId="44815B43" w14:textId="77777777" w:rsidR="00B76533" w:rsidRDefault="00000000">
      <w:r>
        <w:rPr>
          <w:b/>
        </w:rPr>
        <w:t xml:space="preserve">Methods. </w:t>
      </w:r>
      <w:r>
        <w:t>Susceptibility is estimated from 331 flood reports (2010–2025) with a point-process model combining a log-linear anchor and a bounded neural correction, applied to 2,993,619 built-up pixels at 10 m and weighted by the probability of a wet quarter (November 2026–January 2027) and by the parish rate of households with UBN, recomputed from 2022 Census microdata and checked against INEC figures. Stability is assessed against model, rainfall, threshold, budget, unit of measurement and report sample (300 replicates), and discrimination with temporal and spatial splits and 2,572 independent events from the municipal emergency committee.</w:t>
      </w:r>
    </w:p>
    <w:p w14:paraId="3196E804" w14:textId="77777777" w:rsidR="00B76533" w:rsidRDefault="00000000">
      <w:r>
        <w:rPr>
          <w:b/>
        </w:rPr>
        <w:t xml:space="preserve">Results. </w:t>
      </w:r>
      <w:r>
        <w:t>Including UBN changes 2 of the 13 selected parishes (Pomasqui and Tumbaco enter instead of Iñaquito and Kennedy), raises the covered social index by 1.48 % and lowers rainfall-weighted area by 3.10 %. Only four parishes (Guamaní, La Ecuatoriana, Conocoto and Amaguaña) are stable across model, rainfall and sample; Pomasqui and Tumbaco enter in 23 % and 34 % of replicates. Within the built-up area, 19.1 % of post-training events fall in the top 10 % (chance: 10 %).</w:t>
      </w:r>
    </w:p>
    <w:p w14:paraId="054FB0A8" w14:textId="77777777" w:rsidR="00B76533" w:rsidRDefault="00000000">
      <w:r>
        <w:rPr>
          <w:b/>
        </w:rPr>
        <w:lastRenderedPageBreak/>
        <w:t xml:space="preserve">Conclusions. </w:t>
      </w:r>
      <w:r>
        <w:t>The rule yields a reproducible relative ranking with a robust head and an uncertain margin; it does not estimate flood probability or damages.</w:t>
      </w:r>
    </w:p>
    <w:p w14:paraId="5D38D048" w14:textId="77777777" w:rsidR="00B76533" w:rsidRDefault="00000000">
      <w:pPr>
        <w:pStyle w:val="Ttulo1"/>
      </w:pPr>
      <w:r>
        <w:t>1 Introducción</w:t>
      </w:r>
    </w:p>
    <w:p w14:paraId="679B3D49" w14:textId="77777777" w:rsidR="00B76533" w:rsidRDefault="00000000">
      <w:r>
        <w:t>Las inundaciones urbanas no afectan por igual a todos los hogares. La exposición física determina dónde se acumula el agua, pero la capacidad de prepararse, responder y recuperarse depende de las condiciones sociales y de los servicios disponibles (Cutter et al., 2003). La evidencia global indica que integrar exposición y vulnerabilidad modifica tanto la magnitud del riesgo como la distribución de las medidas de preparación (Rentschler et al., 2022; Fox et al., 2024; Mester et al., 2025). En consecuencia, decidir dónde prepararse exige combinar, y no solo superponer, una medida de dónde es probable que se acumule el agua con una medida de quién enfrenta las mayores carencias.</w:t>
      </w:r>
    </w:p>
    <w:p w14:paraId="498AFF46" w14:textId="77777777" w:rsidR="00B76533" w:rsidRDefault="00000000">
      <w:r>
        <w:t>Quito ilustra este problema de asignación. Su relieve, su urbanización y el acceso a servicios varían entre las 65 parroquias del Distrito Metropolitano (Watson et al., 2022), de modo que una parroquia con amplia superficie susceptible puede encabezar una selección por extensión, mientras que otra con menor superficie y mayores carencias adquiere prioridad si el objetivo es atender necesidades básicas. La evidencia económica ecuatoriana refuerza la necesidad de considerar las condiciones de respuesta además de la exposición: las respuestas a los choques de lluvia difieren por actividad y condición laboral (Canavire-Bacarreza et al., 2026), se acumulan con la recurrencia (Llerena Pinto et al., 2025) y pueden extenderse al capital humano (Rosales-Rueda, 2018). Con frecuencia, sin embargo, la elección del criterio se toma sin hacerla explícita y sin cuantificar cuánto depende de los supuestos.</w:t>
      </w:r>
    </w:p>
    <w:p w14:paraId="746FED87" w14:textId="77777777" w:rsidR="00B76533" w:rsidRDefault="00000000">
      <w:r>
        <w:t>La literatura aplicada presenta tres limitaciones recurrentes. Primero, los puntajes de susceptibilidad construidos con reportes de eventos suelen interpretarse como probabilidades de inundación, aunque estiman la concentración relativa de reportes (Warton &amp; Shepherd, 2010) y están afectados por el sesgo de registro. Segundo, las tasas sociales provienen de capas agregadas cuyo cálculo rara vez se verifica contra las cifras oficiales. Tercero, la estabilidad de la priorización se examina frente a pocos supuestos y casi nunca frente a la incertidumbre muestral de los reportes.</w:t>
      </w:r>
    </w:p>
    <w:p w14:paraId="04F850BA" w14:textId="77777777" w:rsidR="00B76533" w:rsidRDefault="00000000">
      <w:r>
        <w:t>Este estudio examina cómo cambia la prioridad parroquial de preparación ante inundaciones en Quito cuando, a la superficie susceptible ponderada por la lluvia estacional, se incorpora la privación por necesidades básicas insatisfechas (NBI) y otras carencias de servicios. Mantenemos separadas las escalas de cada fuente (píxel construido de 10 m, celda meteorológica y parroquia censal) y evaluamos la regla bajo distintos modelos, escenarios de lluvia, umbrales, presupuestos, unidades de medida y muestras de reportes.</w:t>
      </w:r>
    </w:p>
    <w:p w14:paraId="453DACA3" w14:textId="77777777" w:rsidR="00B76533" w:rsidRDefault="00000000">
      <w:r>
        <w:t>Hacemos cuatro contribuciones. (i) Proponemos una regla de priorización reproducible que separa la localización susceptible del criterio distributivo. (ii) Recalculamos el NBI por hogar desde microdatos del Censo 2022, lo verificamos contra las cifras del INEC y documentamos una inconsistencia de agregación en la capa municipal de sectores divididos entre parroquias, que altera las tasas de 28 parroquias. (iii) Cuantificamos la incertidumbre del ranking mediante 300 remuestreos por bloques de los reportes y la distinguimos de la sensibilidad a la especificación. (iv) Evaluamos la capacidad de discriminación del modelo dentro del área construida, donde se aplica la priorización, con particiones temporal y espacial y con 2 572 eventos de una fuente municipal independiente.</w:t>
      </w:r>
    </w:p>
    <w:p w14:paraId="6A14C47A" w14:textId="77777777" w:rsidR="00B76533" w:rsidRDefault="00000000">
      <w:r>
        <w:t>Incorporar el NBI cambia dos de las 13 parroquias seleccionadas, pero solo cuatro (Guamaní, La Ecuatoriana, Conocoto y Amaguaña) permanecen entre las prioritarias frente a modelo, lluvia y muestra de reportes. La capacidad del modelo para discriminar dentro del construido es modesta: la mayor parte de su desempeño proviene de separar lo construido de lo no construido. Por ello interpretamos el resultado como un orden relativo de revisión y no como una probabilidad de inundación.</w:t>
      </w:r>
    </w:p>
    <w:p w14:paraId="39C25F4D" w14:textId="77777777" w:rsidR="00B76533" w:rsidRDefault="00000000">
      <w:r>
        <w:lastRenderedPageBreak/>
        <w:t>El artículo se organiza así. La sección 2 describe los datos y los métodos, la sección 3 presenta los resultados, la sección 4 discute implicaciones y limitaciones y la sección 5 concluye. El material suplementario detalla el modelo, la verificación del NBI y las pruebas adicionales.</w:t>
      </w:r>
    </w:p>
    <w:p w14:paraId="70CEE4C9" w14:textId="77777777" w:rsidR="00B76533" w:rsidRDefault="00000000">
      <w:pPr>
        <w:pStyle w:val="Ttulo1"/>
      </w:pPr>
      <w:r>
        <w:t>2 Datos y métodos</w:t>
      </w:r>
    </w:p>
    <w:p w14:paraId="4C2BEEBA" w14:textId="77777777" w:rsidR="00B76533" w:rsidRDefault="00000000">
      <w:pPr>
        <w:pStyle w:val="Ttulo2"/>
      </w:pPr>
      <w:r>
        <w:t>2.1 Área de estudio y datos</w:t>
      </w:r>
    </w:p>
    <w:p w14:paraId="4C722B37" w14:textId="77777777" w:rsidR="00B76533" w:rsidRDefault="00000000">
      <w:r>
        <w:t>El área de estudio es el Distrito Metropolitano de Quito, con 65 parroquias (32 urbanas y 33 rurales). La tabla 1 reúne las fuentes con su referencia temporal y su soporte, para no tratar resoluciones distintas como observaciones equivalentes.</w:t>
      </w:r>
    </w:p>
    <w:p w14:paraId="52F0A80F" w14:textId="77777777" w:rsidR="00B76533" w:rsidRDefault="00000000">
      <w:pPr>
        <w:keepNext/>
      </w:pPr>
      <w:r>
        <w:rPr>
          <w:sz w:val="20"/>
        </w:rPr>
        <w:t>Tabla 1. Fuentes y soportes espaciales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1944"/>
        <w:gridCol w:w="2088"/>
        <w:gridCol w:w="3240"/>
      </w:tblGrid>
      <w:tr w:rsidR="00B76533" w14:paraId="4A81F0DA" w14:textId="77777777">
        <w:trPr>
          <w:cantSplit/>
          <w:tblHeader/>
          <w:jc w:val="center"/>
        </w:trPr>
        <w:tc>
          <w:tcPr>
            <w:tcW w:w="1800" w:type="dxa"/>
            <w:shd w:val="clear" w:color="auto" w:fill="E9EEF4"/>
            <w:tcMar>
              <w:top w:w="85" w:type="dxa"/>
              <w:left w:w="85" w:type="dxa"/>
              <w:bottom w:w="85" w:type="dxa"/>
              <w:right w:w="85" w:type="dxa"/>
            </w:tcMar>
            <w:vAlign w:val="center"/>
          </w:tcPr>
          <w:p w14:paraId="756C216F" w14:textId="77777777" w:rsidR="00B76533" w:rsidRDefault="00000000">
            <w:pPr>
              <w:keepNext/>
              <w:spacing w:after="20" w:line="252" w:lineRule="auto"/>
              <w:jc w:val="left"/>
            </w:pPr>
            <w:r>
              <w:rPr>
                <w:b/>
                <w:sz w:val="18"/>
              </w:rPr>
              <w:t>Fuente</w:t>
            </w:r>
          </w:p>
        </w:tc>
        <w:tc>
          <w:tcPr>
            <w:tcW w:w="1944" w:type="dxa"/>
            <w:shd w:val="clear" w:color="auto" w:fill="E9EEF4"/>
            <w:tcMar>
              <w:top w:w="85" w:type="dxa"/>
              <w:left w:w="85" w:type="dxa"/>
              <w:bottom w:w="85" w:type="dxa"/>
              <w:right w:w="85" w:type="dxa"/>
            </w:tcMar>
            <w:vAlign w:val="center"/>
          </w:tcPr>
          <w:p w14:paraId="504BA54C" w14:textId="77777777" w:rsidR="00B76533" w:rsidRDefault="00000000">
            <w:pPr>
              <w:keepNext/>
              <w:spacing w:after="20" w:line="252" w:lineRule="auto"/>
              <w:jc w:val="left"/>
            </w:pPr>
            <w:r>
              <w:rPr>
                <w:b/>
                <w:sz w:val="18"/>
              </w:rPr>
              <w:t>Referencia temporal</w:t>
            </w:r>
          </w:p>
        </w:tc>
        <w:tc>
          <w:tcPr>
            <w:tcW w:w="2088" w:type="dxa"/>
            <w:shd w:val="clear" w:color="auto" w:fill="E9EEF4"/>
            <w:tcMar>
              <w:top w:w="85" w:type="dxa"/>
              <w:left w:w="85" w:type="dxa"/>
              <w:bottom w:w="85" w:type="dxa"/>
              <w:right w:w="85" w:type="dxa"/>
            </w:tcMar>
            <w:vAlign w:val="center"/>
          </w:tcPr>
          <w:p w14:paraId="011125C3" w14:textId="77777777" w:rsidR="00B76533" w:rsidRDefault="00000000">
            <w:pPr>
              <w:keepNext/>
              <w:spacing w:after="20" w:line="252" w:lineRule="auto"/>
              <w:jc w:val="center"/>
            </w:pPr>
            <w:r>
              <w:rPr>
                <w:b/>
                <w:sz w:val="18"/>
              </w:rPr>
              <w:t>Soporte</w:t>
            </w:r>
          </w:p>
        </w:tc>
        <w:tc>
          <w:tcPr>
            <w:tcW w:w="3240" w:type="dxa"/>
            <w:shd w:val="clear" w:color="auto" w:fill="E9EEF4"/>
            <w:tcMar>
              <w:top w:w="85" w:type="dxa"/>
              <w:left w:w="85" w:type="dxa"/>
              <w:bottom w:w="85" w:type="dxa"/>
              <w:right w:w="85" w:type="dxa"/>
            </w:tcMar>
            <w:vAlign w:val="center"/>
          </w:tcPr>
          <w:p w14:paraId="09E25274" w14:textId="77777777" w:rsidR="00B76533" w:rsidRDefault="00000000">
            <w:pPr>
              <w:keepNext/>
              <w:spacing w:after="20" w:line="252" w:lineRule="auto"/>
              <w:jc w:val="center"/>
            </w:pPr>
            <w:r>
              <w:rPr>
                <w:b/>
                <w:sz w:val="18"/>
              </w:rPr>
              <w:t>Función</w:t>
            </w:r>
          </w:p>
        </w:tc>
      </w:tr>
      <w:tr w:rsidR="00B76533" w14:paraId="0871D3E5" w14:textId="77777777">
        <w:trPr>
          <w:cantSplit/>
          <w:jc w:val="center"/>
        </w:trPr>
        <w:tc>
          <w:tcPr>
            <w:tcW w:w="1800" w:type="dxa"/>
            <w:tcMar>
              <w:top w:w="85" w:type="dxa"/>
              <w:left w:w="85" w:type="dxa"/>
              <w:bottom w:w="85" w:type="dxa"/>
              <w:right w:w="85" w:type="dxa"/>
            </w:tcMar>
            <w:vAlign w:val="center"/>
          </w:tcPr>
          <w:p w14:paraId="7601AFD3" w14:textId="77777777" w:rsidR="00B76533" w:rsidRDefault="00000000">
            <w:pPr>
              <w:keepNext/>
              <w:spacing w:after="20" w:line="252" w:lineRule="auto"/>
              <w:jc w:val="left"/>
            </w:pPr>
            <w:r>
              <w:rPr>
                <w:sz w:val="18"/>
              </w:rPr>
              <w:t>Reportes SNGR</w:t>
            </w:r>
          </w:p>
        </w:tc>
        <w:tc>
          <w:tcPr>
            <w:tcW w:w="1944" w:type="dxa"/>
            <w:tcMar>
              <w:top w:w="85" w:type="dxa"/>
              <w:left w:w="85" w:type="dxa"/>
              <w:bottom w:w="85" w:type="dxa"/>
              <w:right w:w="85" w:type="dxa"/>
            </w:tcMar>
            <w:vAlign w:val="center"/>
          </w:tcPr>
          <w:p w14:paraId="39C324F8" w14:textId="77777777" w:rsidR="00B76533" w:rsidRDefault="00000000">
            <w:pPr>
              <w:keepNext/>
              <w:spacing w:after="20" w:line="252" w:lineRule="auto"/>
              <w:jc w:val="left"/>
            </w:pPr>
            <w:r>
              <w:rPr>
                <w:sz w:val="18"/>
              </w:rPr>
              <w:t>2010–septiembre 2025</w:t>
            </w:r>
          </w:p>
        </w:tc>
        <w:tc>
          <w:tcPr>
            <w:tcW w:w="2088" w:type="dxa"/>
            <w:tcMar>
              <w:top w:w="85" w:type="dxa"/>
              <w:left w:w="85" w:type="dxa"/>
              <w:bottom w:w="85" w:type="dxa"/>
              <w:right w:w="85" w:type="dxa"/>
            </w:tcMar>
            <w:vAlign w:val="center"/>
          </w:tcPr>
          <w:p w14:paraId="0E6E068E" w14:textId="77777777" w:rsidR="00B76533" w:rsidRDefault="00000000">
            <w:pPr>
              <w:keepNext/>
              <w:spacing w:after="20" w:line="252" w:lineRule="auto"/>
              <w:jc w:val="center"/>
            </w:pPr>
            <w:r>
              <w:rPr>
                <w:sz w:val="18"/>
              </w:rPr>
              <w:t>Puntos geocodificados</w:t>
            </w:r>
          </w:p>
        </w:tc>
        <w:tc>
          <w:tcPr>
            <w:tcW w:w="3240" w:type="dxa"/>
            <w:tcMar>
              <w:top w:w="85" w:type="dxa"/>
              <w:left w:w="85" w:type="dxa"/>
              <w:bottom w:w="85" w:type="dxa"/>
              <w:right w:w="85" w:type="dxa"/>
            </w:tcMar>
            <w:vAlign w:val="center"/>
          </w:tcPr>
          <w:p w14:paraId="2DFE1B80" w14:textId="77777777" w:rsidR="00B76533" w:rsidRDefault="00000000">
            <w:pPr>
              <w:keepNext/>
              <w:spacing w:after="20" w:line="252" w:lineRule="auto"/>
              <w:jc w:val="center"/>
            </w:pPr>
            <w:r>
              <w:rPr>
                <w:sz w:val="18"/>
              </w:rPr>
              <w:t>Localización de eventos reportados</w:t>
            </w:r>
          </w:p>
        </w:tc>
      </w:tr>
      <w:tr w:rsidR="00B76533" w14:paraId="3AA62EDA" w14:textId="77777777">
        <w:trPr>
          <w:cantSplit/>
          <w:jc w:val="center"/>
        </w:trPr>
        <w:tc>
          <w:tcPr>
            <w:tcW w:w="1800" w:type="dxa"/>
            <w:tcMar>
              <w:top w:w="85" w:type="dxa"/>
              <w:left w:w="85" w:type="dxa"/>
              <w:bottom w:w="85" w:type="dxa"/>
              <w:right w:w="85" w:type="dxa"/>
            </w:tcMar>
            <w:vAlign w:val="center"/>
          </w:tcPr>
          <w:p w14:paraId="11DABC3B" w14:textId="77777777" w:rsidR="00B76533" w:rsidRDefault="00000000">
            <w:pPr>
              <w:keepNext/>
              <w:spacing w:after="20" w:line="252" w:lineRule="auto"/>
              <w:jc w:val="left"/>
            </w:pPr>
            <w:r>
              <w:rPr>
                <w:sz w:val="18"/>
              </w:rPr>
              <w:t>ESA WorldCover</w:t>
            </w:r>
          </w:p>
        </w:tc>
        <w:tc>
          <w:tcPr>
            <w:tcW w:w="1944" w:type="dxa"/>
            <w:tcMar>
              <w:top w:w="85" w:type="dxa"/>
              <w:left w:w="85" w:type="dxa"/>
              <w:bottom w:w="85" w:type="dxa"/>
              <w:right w:w="85" w:type="dxa"/>
            </w:tcMar>
            <w:vAlign w:val="center"/>
          </w:tcPr>
          <w:p w14:paraId="0F73D437" w14:textId="77777777" w:rsidR="00B76533" w:rsidRDefault="00000000">
            <w:pPr>
              <w:keepNext/>
              <w:spacing w:after="20" w:line="252" w:lineRule="auto"/>
              <w:jc w:val="left"/>
            </w:pPr>
            <w:r>
              <w:rPr>
                <w:sz w:val="18"/>
              </w:rPr>
              <w:t>2021</w:t>
            </w:r>
          </w:p>
        </w:tc>
        <w:tc>
          <w:tcPr>
            <w:tcW w:w="2088" w:type="dxa"/>
            <w:tcMar>
              <w:top w:w="85" w:type="dxa"/>
              <w:left w:w="85" w:type="dxa"/>
              <w:bottom w:w="85" w:type="dxa"/>
              <w:right w:w="85" w:type="dxa"/>
            </w:tcMar>
            <w:vAlign w:val="center"/>
          </w:tcPr>
          <w:p w14:paraId="69A0FEF8" w14:textId="77777777" w:rsidR="00B76533" w:rsidRDefault="00000000">
            <w:pPr>
              <w:keepNext/>
              <w:spacing w:after="20" w:line="252" w:lineRule="auto"/>
              <w:jc w:val="center"/>
            </w:pPr>
            <w:r>
              <w:rPr>
                <w:sz w:val="18"/>
              </w:rPr>
              <w:t>10 m</w:t>
            </w:r>
          </w:p>
        </w:tc>
        <w:tc>
          <w:tcPr>
            <w:tcW w:w="3240" w:type="dxa"/>
            <w:tcMar>
              <w:top w:w="85" w:type="dxa"/>
              <w:left w:w="85" w:type="dxa"/>
              <w:bottom w:w="85" w:type="dxa"/>
              <w:right w:w="85" w:type="dxa"/>
            </w:tcMar>
            <w:vAlign w:val="center"/>
          </w:tcPr>
          <w:p w14:paraId="60626AC0" w14:textId="77777777" w:rsidR="00B76533" w:rsidRDefault="00000000">
            <w:pPr>
              <w:keepNext/>
              <w:spacing w:after="20" w:line="252" w:lineRule="auto"/>
              <w:jc w:val="center"/>
            </w:pPr>
            <w:r>
              <w:rPr>
                <w:sz w:val="18"/>
              </w:rPr>
              <w:t>Cobertura y construido</w:t>
            </w:r>
          </w:p>
        </w:tc>
      </w:tr>
      <w:tr w:rsidR="00B76533" w14:paraId="642A343C" w14:textId="77777777">
        <w:trPr>
          <w:cantSplit/>
          <w:jc w:val="center"/>
        </w:trPr>
        <w:tc>
          <w:tcPr>
            <w:tcW w:w="1800" w:type="dxa"/>
            <w:tcMar>
              <w:top w:w="85" w:type="dxa"/>
              <w:left w:w="85" w:type="dxa"/>
              <w:bottom w:w="85" w:type="dxa"/>
              <w:right w:w="85" w:type="dxa"/>
            </w:tcMar>
            <w:vAlign w:val="center"/>
          </w:tcPr>
          <w:p w14:paraId="146038A4" w14:textId="77777777" w:rsidR="00B76533" w:rsidRDefault="00000000">
            <w:pPr>
              <w:keepNext/>
              <w:spacing w:after="20" w:line="252" w:lineRule="auto"/>
              <w:jc w:val="left"/>
            </w:pPr>
            <w:r>
              <w:rPr>
                <w:sz w:val="18"/>
              </w:rPr>
              <w:t>Copernicus DEM</w:t>
            </w:r>
          </w:p>
        </w:tc>
        <w:tc>
          <w:tcPr>
            <w:tcW w:w="1944" w:type="dxa"/>
            <w:tcMar>
              <w:top w:w="85" w:type="dxa"/>
              <w:left w:w="85" w:type="dxa"/>
              <w:bottom w:w="85" w:type="dxa"/>
              <w:right w:w="85" w:type="dxa"/>
            </w:tcMar>
            <w:vAlign w:val="center"/>
          </w:tcPr>
          <w:p w14:paraId="4A699E14" w14:textId="77777777" w:rsidR="00B76533" w:rsidRDefault="00000000">
            <w:pPr>
              <w:keepNext/>
              <w:spacing w:after="20" w:line="252" w:lineRule="auto"/>
              <w:jc w:val="left"/>
            </w:pPr>
            <w:r>
              <w:rPr>
                <w:sz w:val="18"/>
              </w:rPr>
              <w:t>Observaciones principalmente 2011–2015</w:t>
            </w:r>
          </w:p>
        </w:tc>
        <w:tc>
          <w:tcPr>
            <w:tcW w:w="2088" w:type="dxa"/>
            <w:tcMar>
              <w:top w:w="85" w:type="dxa"/>
              <w:left w:w="85" w:type="dxa"/>
              <w:bottom w:w="85" w:type="dxa"/>
              <w:right w:w="85" w:type="dxa"/>
            </w:tcMar>
            <w:vAlign w:val="center"/>
          </w:tcPr>
          <w:p w14:paraId="50E24F70" w14:textId="77777777" w:rsidR="00B76533" w:rsidRDefault="00000000">
            <w:pPr>
              <w:keepNext/>
              <w:spacing w:after="20" w:line="252" w:lineRule="auto"/>
              <w:jc w:val="center"/>
            </w:pPr>
            <w:r>
              <w:rPr>
                <w:sz w:val="18"/>
              </w:rPr>
              <w:t>Aproximadamente 30 m</w:t>
            </w:r>
          </w:p>
        </w:tc>
        <w:tc>
          <w:tcPr>
            <w:tcW w:w="3240" w:type="dxa"/>
            <w:tcMar>
              <w:top w:w="85" w:type="dxa"/>
              <w:left w:w="85" w:type="dxa"/>
              <w:bottom w:w="85" w:type="dxa"/>
              <w:right w:w="85" w:type="dxa"/>
            </w:tcMar>
            <w:vAlign w:val="center"/>
          </w:tcPr>
          <w:p w14:paraId="150E644A" w14:textId="77777777" w:rsidR="00B76533" w:rsidRDefault="00000000">
            <w:pPr>
              <w:keepNext/>
              <w:spacing w:after="20" w:line="252" w:lineRule="auto"/>
              <w:jc w:val="center"/>
            </w:pPr>
            <w:r>
              <w:rPr>
                <w:sz w:val="18"/>
              </w:rPr>
              <w:t>Relieve de superficie</w:t>
            </w:r>
          </w:p>
        </w:tc>
      </w:tr>
      <w:tr w:rsidR="00B76533" w14:paraId="19D1F0DC" w14:textId="77777777">
        <w:trPr>
          <w:cantSplit/>
          <w:jc w:val="center"/>
        </w:trPr>
        <w:tc>
          <w:tcPr>
            <w:tcW w:w="1800" w:type="dxa"/>
            <w:tcMar>
              <w:top w:w="85" w:type="dxa"/>
              <w:left w:w="85" w:type="dxa"/>
              <w:bottom w:w="85" w:type="dxa"/>
              <w:right w:w="85" w:type="dxa"/>
            </w:tcMar>
            <w:vAlign w:val="center"/>
          </w:tcPr>
          <w:p w14:paraId="4222DB55" w14:textId="77777777" w:rsidR="00B76533" w:rsidRDefault="00000000">
            <w:pPr>
              <w:keepNext/>
              <w:spacing w:after="20" w:line="252" w:lineRule="auto"/>
              <w:jc w:val="left"/>
            </w:pPr>
            <w:r>
              <w:rPr>
                <w:sz w:val="18"/>
              </w:rPr>
              <w:t>FABDEM V1-2</w:t>
            </w:r>
          </w:p>
        </w:tc>
        <w:tc>
          <w:tcPr>
            <w:tcW w:w="1944" w:type="dxa"/>
            <w:tcMar>
              <w:top w:w="85" w:type="dxa"/>
              <w:left w:w="85" w:type="dxa"/>
              <w:bottom w:w="85" w:type="dxa"/>
              <w:right w:w="85" w:type="dxa"/>
            </w:tcMar>
            <w:vAlign w:val="center"/>
          </w:tcPr>
          <w:p w14:paraId="4E45172E" w14:textId="77777777" w:rsidR="00B76533" w:rsidRDefault="00000000">
            <w:pPr>
              <w:keepNext/>
              <w:spacing w:after="20" w:line="252" w:lineRule="auto"/>
              <w:jc w:val="left"/>
            </w:pPr>
            <w:r>
              <w:rPr>
                <w:sz w:val="18"/>
              </w:rPr>
              <w:t>Derivado de Copernicus DEM</w:t>
            </w:r>
          </w:p>
        </w:tc>
        <w:tc>
          <w:tcPr>
            <w:tcW w:w="2088" w:type="dxa"/>
            <w:tcMar>
              <w:top w:w="85" w:type="dxa"/>
              <w:left w:w="85" w:type="dxa"/>
              <w:bottom w:w="85" w:type="dxa"/>
              <w:right w:w="85" w:type="dxa"/>
            </w:tcMar>
            <w:vAlign w:val="center"/>
          </w:tcPr>
          <w:p w14:paraId="4B972E9B" w14:textId="77777777" w:rsidR="00B76533" w:rsidRDefault="00000000">
            <w:pPr>
              <w:keepNext/>
              <w:spacing w:after="20" w:line="252" w:lineRule="auto"/>
              <w:jc w:val="center"/>
            </w:pPr>
            <w:r>
              <w:rPr>
                <w:sz w:val="18"/>
              </w:rPr>
              <w:t>Aproximadamente 30 m</w:t>
            </w:r>
          </w:p>
        </w:tc>
        <w:tc>
          <w:tcPr>
            <w:tcW w:w="3240" w:type="dxa"/>
            <w:tcMar>
              <w:top w:w="85" w:type="dxa"/>
              <w:left w:w="85" w:type="dxa"/>
              <w:bottom w:w="85" w:type="dxa"/>
              <w:right w:w="85" w:type="dxa"/>
            </w:tcMar>
            <w:vAlign w:val="center"/>
          </w:tcPr>
          <w:p w14:paraId="01E3C38F" w14:textId="77777777" w:rsidR="00B76533" w:rsidRDefault="00000000">
            <w:pPr>
              <w:keepNext/>
              <w:spacing w:after="20" w:line="252" w:lineRule="auto"/>
              <w:jc w:val="center"/>
            </w:pPr>
            <w:r>
              <w:rPr>
                <w:sz w:val="18"/>
              </w:rPr>
              <w:t>Relieve corregido por edificios y vegetación</w:t>
            </w:r>
          </w:p>
        </w:tc>
      </w:tr>
      <w:tr w:rsidR="00B76533" w14:paraId="6270C6B0" w14:textId="77777777">
        <w:trPr>
          <w:cantSplit/>
          <w:jc w:val="center"/>
        </w:trPr>
        <w:tc>
          <w:tcPr>
            <w:tcW w:w="1800" w:type="dxa"/>
            <w:tcMar>
              <w:top w:w="85" w:type="dxa"/>
              <w:left w:w="85" w:type="dxa"/>
              <w:bottom w:w="85" w:type="dxa"/>
              <w:right w:w="85" w:type="dxa"/>
            </w:tcMar>
            <w:vAlign w:val="center"/>
          </w:tcPr>
          <w:p w14:paraId="2611EC56" w14:textId="77777777" w:rsidR="00B76533" w:rsidRDefault="00000000">
            <w:pPr>
              <w:keepNext/>
              <w:spacing w:after="20" w:line="252" w:lineRule="auto"/>
              <w:jc w:val="left"/>
            </w:pPr>
            <w:r>
              <w:rPr>
                <w:sz w:val="18"/>
              </w:rPr>
              <w:t>Vialidad municipal</w:t>
            </w:r>
          </w:p>
        </w:tc>
        <w:tc>
          <w:tcPr>
            <w:tcW w:w="1944" w:type="dxa"/>
            <w:tcMar>
              <w:top w:w="85" w:type="dxa"/>
              <w:left w:w="85" w:type="dxa"/>
              <w:bottom w:w="85" w:type="dxa"/>
              <w:right w:w="85" w:type="dxa"/>
            </w:tcMar>
            <w:vAlign w:val="center"/>
          </w:tcPr>
          <w:p w14:paraId="18A46381" w14:textId="77777777" w:rsidR="00B76533" w:rsidRDefault="00000000">
            <w:pPr>
              <w:keepNext/>
              <w:spacing w:after="20" w:line="252" w:lineRule="auto"/>
              <w:jc w:val="left"/>
            </w:pPr>
            <w:r>
              <w:rPr>
                <w:sz w:val="18"/>
              </w:rPr>
              <w:t>PUGS 2024</w:t>
            </w:r>
          </w:p>
        </w:tc>
        <w:tc>
          <w:tcPr>
            <w:tcW w:w="2088" w:type="dxa"/>
            <w:tcMar>
              <w:top w:w="85" w:type="dxa"/>
              <w:left w:w="85" w:type="dxa"/>
              <w:bottom w:w="85" w:type="dxa"/>
              <w:right w:w="85" w:type="dxa"/>
            </w:tcMar>
            <w:vAlign w:val="center"/>
          </w:tcPr>
          <w:p w14:paraId="758A118B" w14:textId="77777777" w:rsidR="00B76533" w:rsidRDefault="00000000">
            <w:pPr>
              <w:keepNext/>
              <w:spacing w:after="20" w:line="252" w:lineRule="auto"/>
              <w:jc w:val="center"/>
            </w:pPr>
            <w:r>
              <w:rPr>
                <w:sz w:val="18"/>
              </w:rPr>
              <w:t>Trazados vectoriales</w:t>
            </w:r>
          </w:p>
        </w:tc>
        <w:tc>
          <w:tcPr>
            <w:tcW w:w="3240" w:type="dxa"/>
            <w:tcMar>
              <w:top w:w="85" w:type="dxa"/>
              <w:left w:w="85" w:type="dxa"/>
              <w:bottom w:w="85" w:type="dxa"/>
              <w:right w:w="85" w:type="dxa"/>
            </w:tcMar>
            <w:vAlign w:val="center"/>
          </w:tcPr>
          <w:p w14:paraId="4CCFFEDA" w14:textId="77777777" w:rsidR="00B76533" w:rsidRDefault="00000000">
            <w:pPr>
              <w:keepNext/>
              <w:spacing w:after="20" w:line="252" w:lineRule="auto"/>
              <w:jc w:val="center"/>
            </w:pPr>
            <w:r>
              <w:rPr>
                <w:sz w:val="18"/>
              </w:rPr>
              <w:t>Distancia a vías existentes</w:t>
            </w:r>
          </w:p>
        </w:tc>
      </w:tr>
      <w:tr w:rsidR="00B76533" w14:paraId="36D55FC4" w14:textId="77777777">
        <w:trPr>
          <w:cantSplit/>
          <w:jc w:val="center"/>
        </w:trPr>
        <w:tc>
          <w:tcPr>
            <w:tcW w:w="1800" w:type="dxa"/>
            <w:tcMar>
              <w:top w:w="85" w:type="dxa"/>
              <w:left w:w="85" w:type="dxa"/>
              <w:bottom w:w="85" w:type="dxa"/>
              <w:right w:w="85" w:type="dxa"/>
            </w:tcMar>
            <w:vAlign w:val="center"/>
          </w:tcPr>
          <w:p w14:paraId="1B833172" w14:textId="77777777" w:rsidR="00B76533" w:rsidRDefault="00000000">
            <w:pPr>
              <w:keepNext/>
              <w:spacing w:after="20" w:line="252" w:lineRule="auto"/>
              <w:jc w:val="left"/>
            </w:pPr>
            <w:r>
              <w:rPr>
                <w:sz w:val="18"/>
              </w:rPr>
              <w:t>Capa social municipal</w:t>
            </w:r>
          </w:p>
        </w:tc>
        <w:tc>
          <w:tcPr>
            <w:tcW w:w="1944" w:type="dxa"/>
            <w:tcMar>
              <w:top w:w="85" w:type="dxa"/>
              <w:left w:w="85" w:type="dxa"/>
              <w:bottom w:w="85" w:type="dxa"/>
              <w:right w:w="85" w:type="dxa"/>
            </w:tcMar>
            <w:vAlign w:val="center"/>
          </w:tcPr>
          <w:p w14:paraId="130C9E49" w14:textId="77777777" w:rsidR="00B76533" w:rsidRDefault="00000000">
            <w:pPr>
              <w:keepNext/>
              <w:spacing w:after="20" w:line="252" w:lineRule="auto"/>
              <w:jc w:val="left"/>
            </w:pPr>
            <w:r>
              <w:rPr>
                <w:sz w:val="18"/>
              </w:rPr>
              <w:t>Censo 2022</w:t>
            </w:r>
          </w:p>
        </w:tc>
        <w:tc>
          <w:tcPr>
            <w:tcW w:w="2088" w:type="dxa"/>
            <w:tcMar>
              <w:top w:w="85" w:type="dxa"/>
              <w:left w:w="85" w:type="dxa"/>
              <w:bottom w:w="85" w:type="dxa"/>
              <w:right w:w="85" w:type="dxa"/>
            </w:tcMar>
            <w:vAlign w:val="center"/>
          </w:tcPr>
          <w:p w14:paraId="66210F03" w14:textId="77777777" w:rsidR="00B76533" w:rsidRDefault="00000000">
            <w:pPr>
              <w:keepNext/>
              <w:spacing w:after="20" w:line="252" w:lineRule="auto"/>
              <w:jc w:val="center"/>
            </w:pPr>
            <w:r>
              <w:rPr>
                <w:sz w:val="18"/>
              </w:rPr>
              <w:t>65 parroquias</w:t>
            </w:r>
          </w:p>
        </w:tc>
        <w:tc>
          <w:tcPr>
            <w:tcW w:w="3240" w:type="dxa"/>
            <w:tcMar>
              <w:top w:w="85" w:type="dxa"/>
              <w:left w:w="85" w:type="dxa"/>
              <w:bottom w:w="85" w:type="dxa"/>
              <w:right w:w="85" w:type="dxa"/>
            </w:tcMar>
            <w:vAlign w:val="center"/>
          </w:tcPr>
          <w:p w14:paraId="1D49E4A5" w14:textId="77777777" w:rsidR="00B76533" w:rsidRDefault="00000000">
            <w:pPr>
              <w:keepNext/>
              <w:spacing w:after="20" w:line="252" w:lineRule="auto"/>
              <w:jc w:val="center"/>
            </w:pPr>
            <w:r>
              <w:rPr>
                <w:sz w:val="18"/>
              </w:rPr>
              <w:t>NBI (hogares y personas), NBI extremo, agua, saneamiento y hacinamiento</w:t>
            </w:r>
          </w:p>
        </w:tc>
      </w:tr>
      <w:tr w:rsidR="00B76533" w14:paraId="6855F22B" w14:textId="77777777">
        <w:trPr>
          <w:cantSplit/>
          <w:jc w:val="center"/>
        </w:trPr>
        <w:tc>
          <w:tcPr>
            <w:tcW w:w="1800" w:type="dxa"/>
            <w:tcMar>
              <w:top w:w="85" w:type="dxa"/>
              <w:left w:w="85" w:type="dxa"/>
              <w:bottom w:w="85" w:type="dxa"/>
              <w:right w:w="85" w:type="dxa"/>
            </w:tcMar>
            <w:vAlign w:val="center"/>
          </w:tcPr>
          <w:p w14:paraId="32C7A32B" w14:textId="77777777" w:rsidR="00B76533" w:rsidRDefault="00000000">
            <w:pPr>
              <w:keepNext/>
              <w:spacing w:after="20" w:line="252" w:lineRule="auto"/>
              <w:jc w:val="left"/>
            </w:pPr>
            <w:r>
              <w:rPr>
                <w:sz w:val="18"/>
              </w:rPr>
              <w:t>CHIRPS3 RNL</w:t>
            </w:r>
          </w:p>
        </w:tc>
        <w:tc>
          <w:tcPr>
            <w:tcW w:w="1944" w:type="dxa"/>
            <w:tcMar>
              <w:top w:w="85" w:type="dxa"/>
              <w:left w:w="85" w:type="dxa"/>
              <w:bottom w:w="85" w:type="dxa"/>
              <w:right w:w="85" w:type="dxa"/>
            </w:tcMar>
            <w:vAlign w:val="center"/>
          </w:tcPr>
          <w:p w14:paraId="2FCB6E9B" w14:textId="77777777" w:rsidR="00B76533" w:rsidRDefault="00000000">
            <w:pPr>
              <w:keepNext/>
              <w:spacing w:after="20" w:line="252" w:lineRule="auto"/>
              <w:jc w:val="left"/>
            </w:pPr>
            <w:r>
              <w:rPr>
                <w:sz w:val="18"/>
              </w:rPr>
              <w:t>1981-01 a 2026-08</w:t>
            </w:r>
          </w:p>
        </w:tc>
        <w:tc>
          <w:tcPr>
            <w:tcW w:w="2088" w:type="dxa"/>
            <w:tcMar>
              <w:top w:w="85" w:type="dxa"/>
              <w:left w:w="85" w:type="dxa"/>
              <w:bottom w:w="85" w:type="dxa"/>
              <w:right w:w="85" w:type="dxa"/>
            </w:tcMar>
            <w:vAlign w:val="center"/>
          </w:tcPr>
          <w:p w14:paraId="2A5EFCD0" w14:textId="77777777" w:rsidR="00B76533" w:rsidRDefault="00000000">
            <w:pPr>
              <w:keepNext/>
              <w:spacing w:after="20" w:line="252" w:lineRule="auto"/>
              <w:jc w:val="center"/>
            </w:pPr>
            <w:r>
              <w:rPr>
                <w:sz w:val="18"/>
              </w:rPr>
              <w:t>Mensual, 0.05 grados</w:t>
            </w:r>
          </w:p>
        </w:tc>
        <w:tc>
          <w:tcPr>
            <w:tcW w:w="3240" w:type="dxa"/>
            <w:tcMar>
              <w:top w:w="85" w:type="dxa"/>
              <w:left w:w="85" w:type="dxa"/>
              <w:bottom w:w="85" w:type="dxa"/>
              <w:right w:w="85" w:type="dxa"/>
            </w:tcMar>
            <w:vAlign w:val="center"/>
          </w:tcPr>
          <w:p w14:paraId="19157C80" w14:textId="77777777" w:rsidR="00B76533" w:rsidRDefault="00000000">
            <w:pPr>
              <w:keepNext/>
              <w:spacing w:after="20" w:line="252" w:lineRule="auto"/>
              <w:jc w:val="center"/>
            </w:pPr>
            <w:r>
              <w:rPr>
                <w:sz w:val="18"/>
              </w:rPr>
              <w:t>Lluvia y climatología estacional</w:t>
            </w:r>
          </w:p>
        </w:tc>
      </w:tr>
      <w:tr w:rsidR="00B76533" w14:paraId="1FF78037" w14:textId="77777777">
        <w:trPr>
          <w:cantSplit/>
          <w:jc w:val="center"/>
        </w:trPr>
        <w:tc>
          <w:tcPr>
            <w:tcW w:w="1800" w:type="dxa"/>
            <w:tcMar>
              <w:top w:w="85" w:type="dxa"/>
              <w:left w:w="85" w:type="dxa"/>
              <w:bottom w:w="85" w:type="dxa"/>
              <w:right w:w="85" w:type="dxa"/>
            </w:tcMar>
            <w:vAlign w:val="center"/>
          </w:tcPr>
          <w:p w14:paraId="44385A40" w14:textId="77777777" w:rsidR="00B76533" w:rsidRDefault="00000000">
            <w:pPr>
              <w:keepNext/>
              <w:spacing w:after="20" w:line="252" w:lineRule="auto"/>
              <w:jc w:val="left"/>
            </w:pPr>
            <w:r>
              <w:rPr>
                <w:sz w:val="18"/>
              </w:rPr>
              <w:t>Índices OISST NOAA</w:t>
            </w:r>
          </w:p>
        </w:tc>
        <w:tc>
          <w:tcPr>
            <w:tcW w:w="1944" w:type="dxa"/>
            <w:tcMar>
              <w:top w:w="85" w:type="dxa"/>
              <w:left w:w="85" w:type="dxa"/>
              <w:bottom w:w="85" w:type="dxa"/>
              <w:right w:w="85" w:type="dxa"/>
            </w:tcMar>
            <w:vAlign w:val="center"/>
          </w:tcPr>
          <w:p w14:paraId="40EB220A" w14:textId="77777777" w:rsidR="00B76533" w:rsidRDefault="00000000">
            <w:pPr>
              <w:keepNext/>
              <w:spacing w:after="20" w:line="252" w:lineRule="auto"/>
              <w:jc w:val="left"/>
            </w:pPr>
            <w:r>
              <w:rPr>
                <w:sz w:val="18"/>
              </w:rPr>
              <w:t>1982-01 a 2026-08</w:t>
            </w:r>
          </w:p>
        </w:tc>
        <w:tc>
          <w:tcPr>
            <w:tcW w:w="2088" w:type="dxa"/>
            <w:tcMar>
              <w:top w:w="85" w:type="dxa"/>
              <w:left w:w="85" w:type="dxa"/>
              <w:bottom w:w="85" w:type="dxa"/>
              <w:right w:w="85" w:type="dxa"/>
            </w:tcMar>
            <w:vAlign w:val="center"/>
          </w:tcPr>
          <w:p w14:paraId="1785BCD7" w14:textId="77777777" w:rsidR="00B76533" w:rsidRDefault="00000000">
            <w:pPr>
              <w:keepNext/>
              <w:spacing w:after="20" w:line="252" w:lineRule="auto"/>
              <w:jc w:val="center"/>
            </w:pPr>
            <w:r>
              <w:rPr>
                <w:sz w:val="18"/>
              </w:rPr>
              <w:t>Mensual, grados Celsius</w:t>
            </w:r>
          </w:p>
        </w:tc>
        <w:tc>
          <w:tcPr>
            <w:tcW w:w="3240" w:type="dxa"/>
            <w:tcMar>
              <w:top w:w="85" w:type="dxa"/>
              <w:left w:w="85" w:type="dxa"/>
              <w:bottom w:w="85" w:type="dxa"/>
              <w:right w:w="85" w:type="dxa"/>
            </w:tcMar>
            <w:vAlign w:val="center"/>
          </w:tcPr>
          <w:p w14:paraId="00AA4A78" w14:textId="77777777" w:rsidR="00B76533" w:rsidRDefault="00000000">
            <w:pPr>
              <w:keepNext/>
              <w:spacing w:after="20" w:line="252" w:lineRule="auto"/>
              <w:jc w:val="center"/>
            </w:pPr>
            <w:r>
              <w:rPr>
                <w:sz w:val="18"/>
              </w:rPr>
              <w:t>Antecedentes ENSO</w:t>
            </w:r>
          </w:p>
        </w:tc>
      </w:tr>
      <w:tr w:rsidR="00B76533" w14:paraId="3FD6F8CA" w14:textId="77777777">
        <w:trPr>
          <w:cantSplit/>
          <w:jc w:val="center"/>
        </w:trPr>
        <w:tc>
          <w:tcPr>
            <w:tcW w:w="1800" w:type="dxa"/>
            <w:tcMar>
              <w:top w:w="85" w:type="dxa"/>
              <w:left w:w="85" w:type="dxa"/>
              <w:bottom w:w="85" w:type="dxa"/>
              <w:right w:w="85" w:type="dxa"/>
            </w:tcMar>
            <w:vAlign w:val="center"/>
          </w:tcPr>
          <w:p w14:paraId="74FE6E4F" w14:textId="77777777" w:rsidR="00B76533" w:rsidRDefault="00000000">
            <w:pPr>
              <w:keepNext/>
              <w:spacing w:after="20" w:line="252" w:lineRule="auto"/>
              <w:jc w:val="left"/>
            </w:pPr>
            <w:r>
              <w:rPr>
                <w:sz w:val="18"/>
              </w:rPr>
              <w:t>NMME archivado</w:t>
            </w:r>
          </w:p>
        </w:tc>
        <w:tc>
          <w:tcPr>
            <w:tcW w:w="1944" w:type="dxa"/>
            <w:tcMar>
              <w:top w:w="85" w:type="dxa"/>
              <w:left w:w="85" w:type="dxa"/>
              <w:bottom w:w="85" w:type="dxa"/>
              <w:right w:w="85" w:type="dxa"/>
            </w:tcMar>
            <w:vAlign w:val="center"/>
          </w:tcPr>
          <w:p w14:paraId="5FDAB81B" w14:textId="77777777" w:rsidR="00B76533" w:rsidRDefault="00000000">
            <w:pPr>
              <w:keepNext/>
              <w:spacing w:after="20" w:line="252" w:lineRule="auto"/>
              <w:jc w:val="left"/>
            </w:pPr>
            <w:r>
              <w:rPr>
                <w:sz w:val="18"/>
              </w:rPr>
              <w:t>2013-12 a 2026-10</w:t>
            </w:r>
          </w:p>
        </w:tc>
        <w:tc>
          <w:tcPr>
            <w:tcW w:w="2088" w:type="dxa"/>
            <w:tcMar>
              <w:top w:w="85" w:type="dxa"/>
              <w:left w:w="85" w:type="dxa"/>
              <w:bottom w:w="85" w:type="dxa"/>
              <w:right w:w="85" w:type="dxa"/>
            </w:tcMar>
            <w:vAlign w:val="center"/>
          </w:tcPr>
          <w:p w14:paraId="64D5DF83" w14:textId="77777777" w:rsidR="00B76533" w:rsidRDefault="00000000">
            <w:pPr>
              <w:keepNext/>
              <w:spacing w:after="20" w:line="252" w:lineRule="auto"/>
              <w:jc w:val="center"/>
            </w:pPr>
            <w:r>
              <w:rPr>
                <w:sz w:val="18"/>
              </w:rPr>
              <w:t>Inicializaciones mensuales, 1 grado</w:t>
            </w:r>
          </w:p>
        </w:tc>
        <w:tc>
          <w:tcPr>
            <w:tcW w:w="3240" w:type="dxa"/>
            <w:tcMar>
              <w:top w:w="85" w:type="dxa"/>
              <w:left w:w="85" w:type="dxa"/>
              <w:bottom w:w="85" w:type="dxa"/>
              <w:right w:w="85" w:type="dxa"/>
            </w:tcMar>
            <w:vAlign w:val="center"/>
          </w:tcPr>
          <w:p w14:paraId="7BECA085" w14:textId="77777777" w:rsidR="00B76533" w:rsidRDefault="00000000">
            <w:pPr>
              <w:keepNext/>
              <w:spacing w:after="20" w:line="252" w:lineRule="auto"/>
              <w:jc w:val="center"/>
            </w:pPr>
            <w:r>
              <w:rPr>
                <w:sz w:val="18"/>
              </w:rPr>
              <w:t>Escenario dinámico con ajuste local</w:t>
            </w:r>
          </w:p>
        </w:tc>
      </w:tr>
    </w:tbl>
    <w:p w14:paraId="35133B92" w14:textId="77777777" w:rsidR="00B76533" w:rsidRDefault="00000000">
      <w:pPr>
        <w:spacing w:before="100"/>
      </w:pPr>
      <w:r>
        <w:rPr>
          <w:sz w:val="18"/>
        </w:rPr>
        <w:t>Fuente: Servicio Nacional de Gestión de Riesgos (SNGR), European Space Agency (ESA), Copernicus, FABDEM, Municipio de Quito, Climate Hazards Center y National Oceanic and Atmospheric Administration (NOAA). Elaboración propia. ENSO: El Niño–Southern Oscillation; NMME: North American Multimodel Ensemble; OISST: Optimum Interpolation Sea Surface Temperature. Fechas observacionales, excepto NMME que indica inicializaciones. Las versiones cartográficas no certifican disponibilidad histórica por fecha.</w:t>
      </w:r>
    </w:p>
    <w:p w14:paraId="3DE10FE1" w14:textId="77777777" w:rsidR="00B76533" w:rsidRDefault="00000000">
      <w:r>
        <w:t>Los eventos proceden de 331 reportes de inundación del Servicio Nacional de Gestión de Riesgos (SNGR) de 2010 a septiembre de 2025, depurados por fecha, posición y duplicados (SNGR, s. f.). El construido proviene de ESA WorldCover 2021 a 10 m (Zanaga et al., 2022); el relieve, de Copernicus DEM y FABDEM a unos 30 m (Copernicus, s. f.; Hawker et al., 2022); y las vías, del Plan de uso y gestión del suelo 2024 (Municipio del Distrito Metropolitano de Quito, 2024). Todo se integra en una malla de 10 m (EPSG:32717) sin interpolar el relieve, que conserva su soporte de 30 m. El análisis cubre 2 993 619 píxeles construidos con covariables válidas (29 936.19 ha); se excluyen 28 776 píxeles (287.76 ha) por falta de covariables y 14.95 % del construido requiere acotar alguna covariable al soporte de entrenamiento. La figura 1 muestra el construido analizado y su decil superior de susceptibilidad.</w:t>
      </w:r>
    </w:p>
    <w:p w14:paraId="7E2AFB48" w14:textId="77777777" w:rsidR="00B76533" w:rsidRDefault="00000000">
      <w:pPr>
        <w:keepNext/>
      </w:pPr>
      <w:r>
        <w:rPr>
          <w:sz w:val="20"/>
        </w:rPr>
        <w:lastRenderedPageBreak/>
        <w:t>Figura 1. Construido analizado y decil superior de susceptibilidad</w:t>
      </w:r>
    </w:p>
    <w:p w14:paraId="51F70379" w14:textId="77777777" w:rsidR="00B76533" w:rsidRDefault="00000000">
      <w:pPr>
        <w:keepNext/>
      </w:pPr>
      <w:r>
        <w:rPr>
          <w:noProof/>
        </w:rPr>
        <w:drawing>
          <wp:inline distT="0" distB="0" distL="0" distR="0" wp14:anchorId="5A791758" wp14:editId="72818420">
            <wp:extent cx="5760720" cy="4188240"/>
            <wp:effectExtent l="0" t="0" r="0" b="0"/>
            <wp:docPr id="1" name="Picture 1" descr="Figura 1. Construido analizado y decil superior de susceptibilidad. Fuente: ESA WorldCover 2021, covariables y modelo residual. Elaboración propia. Para lectura, cada bloque de 80 m se colorea si contiene un píxel prioritario; áreas e índices se calculan con píxeles de 10 m. Blanco: fuera del construido o sin soporte, no ausencia de ries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3_construido_prioritario.png"/>
                    <pic:cNvPicPr/>
                  </pic:nvPicPr>
                  <pic:blipFill>
                    <a:blip r:embed="rId8"/>
                    <a:stretch>
                      <a:fillRect/>
                    </a:stretch>
                  </pic:blipFill>
                  <pic:spPr>
                    <a:xfrm>
                      <a:off x="0" y="0"/>
                      <a:ext cx="5760720" cy="4188240"/>
                    </a:xfrm>
                    <a:prstGeom prst="rect">
                      <a:avLst/>
                    </a:prstGeom>
                  </pic:spPr>
                </pic:pic>
              </a:graphicData>
            </a:graphic>
          </wp:inline>
        </w:drawing>
      </w:r>
    </w:p>
    <w:p w14:paraId="0C4D1EA3" w14:textId="77777777" w:rsidR="00B76533" w:rsidRDefault="00000000">
      <w:r>
        <w:rPr>
          <w:sz w:val="18"/>
        </w:rPr>
        <w:t>Fuente: ESA WorldCover 2021, covariables y modelo residual. Elaboración propia. Para lectura, cada bloque de 80 m se colorea si contiene un píxel prioritario; áreas e índices se calculan con píxeles de 10 m. Blanco: fuera del construido o sin soporte, no ausencia de riesgo.</w:t>
      </w:r>
    </w:p>
    <w:p w14:paraId="059D195A" w14:textId="77777777" w:rsidR="00B76533" w:rsidRDefault="00000000">
      <w:pPr>
        <w:pStyle w:val="Ttulo2"/>
      </w:pPr>
      <w:r>
        <w:t>2.2 Susceptibilidad territorial</w:t>
      </w:r>
    </w:p>
    <w:p w14:paraId="76E245C4" w14:textId="77777777" w:rsidR="00B76533" w:rsidRDefault="00000000">
      <w:r>
        <w:t>La susceptibilidad se modela como la intensidad relativa de reportes con un proceso puntual de solo presencias, que no trata los puntos de cuadratura como sitios no inundados (Warton &amp; Shepherd, 2010). Cada reporte se representa con 25 posiciones dentro de un radio supuesto de 100 m para incorporar su incertidumbre de localización. El score de un punto con covariables x es</w:t>
      </w:r>
    </w:p>
    <w:tbl>
      <w:tblPr>
        <w:tblW w:w="9072" w:type="dxa"/>
        <w:tblLayout w:type="fixed"/>
        <w:tblLook w:val="04A0" w:firstRow="1" w:lastRow="0" w:firstColumn="1" w:lastColumn="0" w:noHBand="0" w:noVBand="1"/>
      </w:tblPr>
      <w:tblGrid>
        <w:gridCol w:w="8172"/>
        <w:gridCol w:w="900"/>
      </w:tblGrid>
      <w:tr w:rsidR="00FD442D" w14:paraId="1C497716" w14:textId="77777777">
        <w:tc>
          <w:tcPr>
            <w:tcW w:w="8172" w:type="dxa"/>
            <w:vAlign w:val="center"/>
          </w:tcPr>
          <w:p w14:paraId="619B799F" w14:textId="77777777" w:rsidR="00B76533" w:rsidRDefault="00000000">
            <w:pPr>
              <w:jc w:val="center"/>
            </w:pPr>
            <m:oMathPara>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 xml:space="preserve">(x) = </m:t>
                </m:r>
                <m:sSub>
                  <m:sSubPr>
                    <m:ctrlPr>
                      <w:rPr>
                        <w:rFonts w:ascii="Cambria Math" w:hAnsi="Cambria Math"/>
                      </w:rPr>
                    </m:ctrlPr>
                  </m:sSubPr>
                  <m:e>
                    <m:r>
                      <w:rPr>
                        <w:rFonts w:ascii="Cambria Math" w:hAnsi="Cambria Math"/>
                      </w:rPr>
                      <m:t>f</m:t>
                    </m:r>
                  </m:e>
                  <m:sub>
                    <m:r>
                      <w:rPr>
                        <w:rFonts w:ascii="Cambria Math" w:hAnsi="Cambria Math"/>
                      </w:rPr>
                      <m:t>lin</m:t>
                    </m:r>
                  </m:sub>
                </m:sSub>
                <m:r>
                  <w:rPr>
                    <w:rFonts w:ascii="Cambria Math" w:hAnsi="Cambria Math"/>
                  </w:rPr>
                  <m:t>(C(x)) + B tanh(</m:t>
                </m:r>
                <m:sSub>
                  <m:sSubPr>
                    <m:ctrlPr>
                      <w:rPr>
                        <w:rFonts w:ascii="Cambria Math" w:hAnsi="Cambria Math"/>
                      </w:rPr>
                    </m:ctrlPr>
                  </m:sSubPr>
                  <m:e>
                    <m:r>
                      <w:rPr>
                        <w:rFonts w:ascii="Cambria Math" w:hAnsi="Cambria Math"/>
                      </w:rPr>
                      <m:t>g</m:t>
                    </m:r>
                  </m:e>
                  <m:sub>
                    <m:r>
                      <w:rPr>
                        <w:rFonts w:ascii="Cambria Math" w:hAnsi="Cambria Math"/>
                      </w:rPr>
                      <m:t>φ</m:t>
                    </m:r>
                  </m:sub>
                </m:sSub>
                <m:r>
                  <w:rPr>
                    <w:rFonts w:ascii="Cambria Math" w:hAnsi="Cambria Math"/>
                  </w:rPr>
                  <m:t>(C(x)))</m:t>
                </m:r>
              </m:oMath>
            </m:oMathPara>
          </w:p>
        </w:tc>
        <w:tc>
          <w:tcPr>
            <w:tcW w:w="900" w:type="dxa"/>
            <w:vAlign w:val="center"/>
          </w:tcPr>
          <w:p w14:paraId="2495A78C" w14:textId="77777777" w:rsidR="00FD442D" w:rsidRDefault="00000000">
            <w:pPr>
              <w:jc w:val="right"/>
            </w:pPr>
            <w:r>
              <w:t>(1)</w:t>
            </w:r>
          </w:p>
        </w:tc>
      </w:tr>
    </w:tbl>
    <w:p w14:paraId="496A3692" w14:textId="77777777" w:rsidR="00B76533" w:rsidRDefault="00000000">
      <w:r>
        <w:t>donde el primer término es un ancla loglineal con coeficientes fijos, g es una red de dos capas ocultas (16 y 8 neuronas, activación SiLU, dropout 0.10) que corrige el ancla, B limita la amplitud de la corrección (0.25 o 1.0) y C(x) acota las covariables continuas a los cuantiles 0.005 y 0.995 del fondo de entrenamiento. La densidad relativa, normalizada con la media de la intensidad sobre 60 000 puntos de cuadratura del fondo, es</w:t>
      </w:r>
    </w:p>
    <w:tbl>
      <w:tblPr>
        <w:tblW w:w="9072" w:type="dxa"/>
        <w:tblLayout w:type="fixed"/>
        <w:tblLook w:val="04A0" w:firstRow="1" w:lastRow="0" w:firstColumn="1" w:lastColumn="0" w:noHBand="0" w:noVBand="1"/>
      </w:tblPr>
      <w:tblGrid>
        <w:gridCol w:w="8172"/>
        <w:gridCol w:w="900"/>
      </w:tblGrid>
      <w:tr w:rsidR="00FD442D" w14:paraId="6855D566" w14:textId="77777777">
        <w:tc>
          <w:tcPr>
            <w:tcW w:w="8172" w:type="dxa"/>
            <w:vAlign w:val="center"/>
          </w:tcPr>
          <w:p w14:paraId="0ABC65FE" w14:textId="77777777" w:rsidR="00B76533" w:rsidRDefault="00000000">
            <w:pPr>
              <w:jc w:val="center"/>
            </w:pPr>
            <m:oMathPara>
              <m:oMath>
                <m:sSub>
                  <m:sSubPr>
                    <m:ctrlPr>
                      <w:rPr>
                        <w:rFonts w:ascii="Cambria Math" w:hAnsi="Cambria Math"/>
                      </w:rPr>
                    </m:ctrlPr>
                  </m:sSubPr>
                  <m:e>
                    <m:r>
                      <w:rPr>
                        <w:rFonts w:ascii="Cambria Math" w:hAnsi="Cambria Math"/>
                      </w:rPr>
                      <m:t>ρ</m:t>
                    </m:r>
                  </m:e>
                  <m:sub>
                    <m:r>
                      <w:rPr>
                        <w:rFonts w:ascii="Cambria Math" w:hAnsi="Cambria Math"/>
                      </w:rPr>
                      <m:t>θ</m:t>
                    </m:r>
                  </m:sub>
                </m:sSub>
                <m:r>
                  <w:rPr>
                    <w:rFonts w:ascii="Cambria Math" w:hAnsi="Cambria Math"/>
                  </w:rPr>
                  <m:t xml:space="preserve">(x) = </m:t>
                </m:r>
                <m:f>
                  <m:fPr>
                    <m:ctrlPr>
                      <w:rPr>
                        <w:rFonts w:ascii="Cambria Math" w:hAnsi="Cambria Math"/>
                      </w:rPr>
                    </m:ctrlPr>
                  </m:fPr>
                  <m:num>
                    <m:r>
                      <w:rPr>
                        <w:rFonts w:ascii="Cambria Math" w:hAnsi="Cambria Math"/>
                      </w:rPr>
                      <m:t>exp(</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num>
                  <m:den>
                    <m:sSub>
                      <m:sSubPr>
                        <m:ctrlPr>
                          <w:rPr>
                            <w:rFonts w:ascii="Cambria Math" w:hAnsi="Cambria Math"/>
                          </w:rPr>
                        </m:ctrlPr>
                      </m:sSubPr>
                      <m:e>
                        <m:r>
                          <w:rPr>
                            <w:rFonts w:ascii="Cambria Math" w:hAnsi="Cambria Math"/>
                          </w:rPr>
                          <m:t>mean</m:t>
                        </m:r>
                      </m:e>
                      <m:sub>
                        <m:r>
                          <w:rPr>
                            <w:rFonts w:ascii="Cambria Math" w:hAnsi="Cambria Math"/>
                          </w:rPr>
                          <m:t>b</m:t>
                        </m:r>
                      </m:sub>
                    </m:sSub>
                    <m:r>
                      <w:rPr>
                        <w:rFonts w:ascii="Cambria Math" w:hAnsi="Cambria Math"/>
                      </w:rPr>
                      <m:t xml:space="preserve"> exp(</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den>
                </m:f>
              </m:oMath>
            </m:oMathPara>
          </w:p>
        </w:tc>
        <w:tc>
          <w:tcPr>
            <w:tcW w:w="900" w:type="dxa"/>
            <w:vAlign w:val="center"/>
          </w:tcPr>
          <w:p w14:paraId="78A18AC6" w14:textId="77777777" w:rsidR="00FD442D" w:rsidRDefault="00000000">
            <w:pPr>
              <w:jc w:val="right"/>
            </w:pPr>
            <w:r>
              <w:t>(2)</w:t>
            </w:r>
          </w:p>
        </w:tc>
      </w:tr>
    </w:tbl>
    <w:p w14:paraId="3FE8937B" w14:textId="77777777" w:rsidR="00B76533" w:rsidRDefault="00000000">
      <w:r>
        <w:t>de modo que su media en el fondo es uno. Esa magnitud describe la concentración relativa de reportes y no una probabilidad de inundación.</w:t>
      </w:r>
    </w:p>
    <w:p w14:paraId="586E9EF6" w14:textId="77777777" w:rsidR="00B76533" w:rsidRDefault="00000000">
      <w:r>
        <w:t xml:space="preserve">El ancla se ajusta con una penalización L2 y un temperado seleccionados por calibración; la red se entrena sobre el ancla congelada con tres semillas, lo que produce 48 redes entre cuatro conjuntos de covariables, </w:t>
      </w:r>
      <w:r>
        <w:lastRenderedPageBreak/>
        <w:t>dos protocolos y dos cotas. La variante aplicada al mapa (temporal, con vías y FABDEM, B = 0.25) se fijó después de examinar versiones anteriores, por lo que la evaluación es retrospectiva y no una prueba prospectiva ciega. El material suplementario (secciones S1 a S4) detalla las 25 covariables, el entrenamiento y las particiones.</w:t>
      </w:r>
    </w:p>
    <w:p w14:paraId="26D535EF" w14:textId="77777777" w:rsidR="00B76533" w:rsidRDefault="00000000">
      <w:pPr>
        <w:pStyle w:val="Ttulo2"/>
      </w:pPr>
      <w:r>
        <w:t>2.3 Escenarios de lluvia</w:t>
      </w:r>
    </w:p>
    <w:p w14:paraId="5C82E13F" w14:textId="77777777" w:rsidR="00B76533" w:rsidRDefault="00000000">
      <w:r>
        <w:t>El estado húmedo se define como un acumulado trimestral de precipitación que supera el percentil 80 histórico de la estación. Para noviembre de 2026 a enero de 2027 se combinan observaciones de lluvia CHIRPS3 (Funk et al., 2026; Climate Hazards Center, s. f.) y de temperatura superficial del mar (Climate Prediction Center, s. f.-a) hasta agosto de 2026 para estimar la probabilidad P del estado húmedo en cada una de 186 celdas meteorológicas j. Se comparan tres modelos: uno estacional con ENSO, la climatología calibrada y el conjunto multimodelo NMME con ajuste local (Kirtman et al., 2014; Becker &amp; van den Dool, 2016; Climate Prediction Center, s. f.-b), con la emisión congelada al 9 de octubre de 2026. La relación entre ENSO y precipitación difiere entre la Costa y los Andes (Recalde-Coronel et al., 2014) y las evaluaciones de precipitación en Ecuador muestran diferencias por topografía (Iza-Wong et al., 2026; Huber Magoffin et al., 2023; Arechúa-Mazón et al., 2025); por ello la lluvia se usa como contexto de preparación y se conservan las tres alternativas. P pondera la superficie susceptible y no es una probabilidad de inundación del píxel.</w:t>
      </w:r>
    </w:p>
    <w:p w14:paraId="24081C68" w14:textId="77777777" w:rsidR="00B76533" w:rsidRDefault="00000000">
      <w:pPr>
        <w:pStyle w:val="Ttulo2"/>
      </w:pPr>
      <w:r>
        <w:t>2.4 Privación social</w:t>
      </w:r>
    </w:p>
    <w:p w14:paraId="6636988C" w14:textId="77777777" w:rsidR="00B76533" w:rsidRDefault="00000000">
      <w:r>
        <w:t>El NBI sigue la metodología del INEC (2024): un hogar presenta NBI si acumula al menos una de cinco privaciones (dependencia económica, asistencia escolar de niños de 6 a 12 años, características físicas de la vivienda, servicios básicos y hacinamiento), con los umbrales de la tabla S6. Sea c la indicadora de que el hogar h presenta la privación k (1 si la presenta y 0 en caso contrario). El hogar tiene NBI si acumula al menos una privación y NBI extremo si acumula al menos dos:</w:t>
      </w:r>
    </w:p>
    <w:tbl>
      <w:tblPr>
        <w:tblW w:w="9072" w:type="dxa"/>
        <w:tblLayout w:type="fixed"/>
        <w:tblLook w:val="04A0" w:firstRow="1" w:lastRow="0" w:firstColumn="1" w:lastColumn="0" w:noHBand="0" w:noVBand="1"/>
      </w:tblPr>
      <w:tblGrid>
        <w:gridCol w:w="8172"/>
        <w:gridCol w:w="900"/>
      </w:tblGrid>
      <w:tr w:rsidR="00FD442D" w14:paraId="2FA6A565" w14:textId="77777777">
        <w:tc>
          <w:tcPr>
            <w:tcW w:w="8172" w:type="dxa"/>
            <w:vAlign w:val="center"/>
          </w:tcPr>
          <w:p w14:paraId="578719BC" w14:textId="77777777" w:rsidR="00FD442D" w:rsidRDefault="00000000">
            <w:pPr>
              <w:jc w:val="center"/>
            </w:pPr>
            <m:oMathPara>
              <m:oMath>
                <m:sSub>
                  <m:sSubPr>
                    <m:ctrlPr>
                      <w:rPr>
                        <w:rFonts w:ascii="Cambria Math" w:hAnsi="Cambria Math"/>
                      </w:rPr>
                    </m:ctrlPr>
                  </m:sSubPr>
                  <m:e>
                    <m:r>
                      <w:rPr>
                        <w:rFonts w:ascii="Cambria Math" w:hAnsi="Cambria Math"/>
                      </w:rPr>
                      <m:t>NBI</m:t>
                    </m:r>
                  </m:e>
                  <m:sub>
                    <m:r>
                      <w:rPr>
                        <w:rFonts w:ascii="Cambria Math" w:hAnsi="Cambria Math"/>
                      </w:rPr>
                      <m:t>h</m:t>
                    </m:r>
                  </m:sub>
                </m:sSub>
                <m:r>
                  <w:rPr>
                    <w:rFonts w:ascii="Cambria Math" w:hAnsi="Cambria Math"/>
                  </w:rPr>
                  <m:t xml:space="preserve"> = 1[</m:t>
                </m:r>
                <m:nary>
                  <m:naryPr>
                    <m:chr m:val="∑"/>
                    <m:limLoc m:val="subSup"/>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c</m:t>
                        </m:r>
                      </m:e>
                      <m:sub>
                        <m:r>
                          <w:rPr>
                            <w:rFonts w:ascii="Cambria Math" w:hAnsi="Cambria Math"/>
                          </w:rPr>
                          <m:t>hk</m:t>
                        </m:r>
                      </m:sub>
                    </m:sSub>
                  </m:e>
                </m:nary>
                <m:r>
                  <w:rPr>
                    <w:rFonts w:ascii="Cambria Math" w:hAnsi="Cambria Math"/>
                  </w:rPr>
                  <m:t xml:space="preserve"> ≥ 1],      </m:t>
                </m:r>
                <m:sSubSup>
                  <m:sSubSupPr>
                    <m:ctrlPr>
                      <w:rPr>
                        <w:rFonts w:ascii="Cambria Math" w:hAnsi="Cambria Math"/>
                      </w:rPr>
                    </m:ctrlPr>
                  </m:sSubSupPr>
                  <m:e>
                    <m:r>
                      <w:rPr>
                        <w:rFonts w:ascii="Cambria Math" w:hAnsi="Cambria Math"/>
                      </w:rPr>
                      <m:t>NBI</m:t>
                    </m:r>
                  </m:e>
                  <m:sub>
                    <m:r>
                      <w:rPr>
                        <w:rFonts w:ascii="Cambria Math" w:hAnsi="Cambria Math"/>
                      </w:rPr>
                      <m:t>h</m:t>
                    </m:r>
                  </m:sub>
                  <m:sup>
                    <m:r>
                      <w:rPr>
                        <w:rFonts w:ascii="Cambria Math" w:hAnsi="Cambria Math"/>
                      </w:rPr>
                      <m:t>ext</m:t>
                    </m:r>
                  </m:sup>
                </m:sSubSup>
                <m:r>
                  <w:rPr>
                    <w:rFonts w:ascii="Cambria Math" w:hAnsi="Cambria Math"/>
                  </w:rPr>
                  <m:t xml:space="preserve"> = 1[</m:t>
                </m:r>
                <m:nary>
                  <m:naryPr>
                    <m:chr m:val="∑"/>
                    <m:limLoc m:val="subSup"/>
                    <m:ctrlPr>
                      <w:rPr>
                        <w:rFonts w:ascii="Cambria Math" w:hAnsi="Cambria Math"/>
                      </w:rPr>
                    </m:ctrlPr>
                  </m:naryPr>
                  <m:sub>
                    <m:r>
                      <w:rPr>
                        <w:rFonts w:ascii="Cambria Math" w:hAnsi="Cambria Math"/>
                      </w:rPr>
                      <m:t>k=1</m:t>
                    </m:r>
                  </m:sub>
                  <m:sup>
                    <m:r>
                      <w:rPr>
                        <w:rFonts w:ascii="Cambria Math" w:hAnsi="Cambria Math"/>
                      </w:rPr>
                      <m:t>5</m:t>
                    </m:r>
                  </m:sup>
                  <m:e>
                    <m:sSub>
                      <m:sSubPr>
                        <m:ctrlPr>
                          <w:rPr>
                            <w:rFonts w:ascii="Cambria Math" w:hAnsi="Cambria Math"/>
                          </w:rPr>
                        </m:ctrlPr>
                      </m:sSubPr>
                      <m:e>
                        <m:r>
                          <w:rPr>
                            <w:rFonts w:ascii="Cambria Math" w:hAnsi="Cambria Math"/>
                          </w:rPr>
                          <m:t>c</m:t>
                        </m:r>
                      </m:e>
                      <m:sub>
                        <m:r>
                          <w:rPr>
                            <w:rFonts w:ascii="Cambria Math" w:hAnsi="Cambria Math"/>
                          </w:rPr>
                          <m:t>hk</m:t>
                        </m:r>
                      </m:sub>
                    </m:sSub>
                  </m:e>
                </m:nary>
                <m:r>
                  <w:rPr>
                    <w:rFonts w:ascii="Cambria Math" w:hAnsi="Cambria Math"/>
                  </w:rPr>
                  <m:t xml:space="preserve"> ≥ 2]</m:t>
                </m:r>
              </m:oMath>
            </m:oMathPara>
          </w:p>
        </w:tc>
        <w:tc>
          <w:tcPr>
            <w:tcW w:w="900" w:type="dxa"/>
            <w:vAlign w:val="center"/>
          </w:tcPr>
          <w:p w14:paraId="74F32A32" w14:textId="77777777" w:rsidR="00FD442D" w:rsidRDefault="00000000">
            <w:pPr>
              <w:jc w:val="right"/>
            </w:pPr>
            <w:r>
              <w:t>(3)</w:t>
            </w:r>
          </w:p>
        </w:tc>
      </w:tr>
    </w:tbl>
    <w:p w14:paraId="2723D674" w14:textId="77777777" w:rsidR="00B76533" w:rsidRDefault="00000000">
      <w:r>
        <w:t>La tasa parroquial de hogares con NBI, que es la medida principal, y la de personas, que pondera por el tamaño m del hogar, son</w:t>
      </w:r>
    </w:p>
    <w:tbl>
      <w:tblPr>
        <w:tblW w:w="9072" w:type="dxa"/>
        <w:tblLayout w:type="fixed"/>
        <w:tblLook w:val="04A0" w:firstRow="1" w:lastRow="0" w:firstColumn="1" w:lastColumn="0" w:noHBand="0" w:noVBand="1"/>
      </w:tblPr>
      <w:tblGrid>
        <w:gridCol w:w="8172"/>
        <w:gridCol w:w="900"/>
      </w:tblGrid>
      <w:tr w:rsidR="00FD442D" w14:paraId="5ABAA0CE" w14:textId="77777777">
        <w:tc>
          <w:tcPr>
            <w:tcW w:w="8172" w:type="dxa"/>
            <w:vAlign w:val="center"/>
          </w:tcPr>
          <w:p w14:paraId="24E6F3EA" w14:textId="77777777" w:rsidR="00FD442D" w:rsidRDefault="00000000">
            <w:pPr>
              <w:jc w:val="center"/>
            </w:pPr>
            <m:oMathPara>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 xml:space="preserve"> = </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h∈p</m:t>
                        </m:r>
                      </m:sub>
                      <m:sup/>
                      <m:e>
                        <m:sSub>
                          <m:sSubPr>
                            <m:ctrlPr>
                              <w:rPr>
                                <w:rFonts w:ascii="Cambria Math" w:hAnsi="Cambria Math"/>
                              </w:rPr>
                            </m:ctrlPr>
                          </m:sSubPr>
                          <m:e>
                            <m:r>
                              <w:rPr>
                                <w:rFonts w:ascii="Cambria Math" w:hAnsi="Cambria Math"/>
                              </w:rPr>
                              <m:t>NBI</m:t>
                            </m:r>
                          </m:e>
                          <m:sub>
                            <m:r>
                              <w:rPr>
                                <w:rFonts w:ascii="Cambria Math" w:hAnsi="Cambria Math"/>
                              </w:rPr>
                              <m:t>h</m:t>
                            </m:r>
                          </m:sub>
                        </m:sSub>
                      </m:e>
                    </m:nary>
                  </m:num>
                  <m:den>
                    <m:sSub>
                      <m:sSubPr>
                        <m:ctrlPr>
                          <w:rPr>
                            <w:rFonts w:ascii="Cambria Math" w:hAnsi="Cambria Math"/>
                          </w:rPr>
                        </m:ctrlPr>
                      </m:sSubPr>
                      <m:e>
                        <m:r>
                          <w:rPr>
                            <w:rFonts w:ascii="Cambria Math" w:hAnsi="Cambria Math"/>
                          </w:rPr>
                          <m:t>N</m:t>
                        </m:r>
                      </m:e>
                      <m:sub>
                        <m:r>
                          <w:rPr>
                            <w:rFonts w:ascii="Cambria Math" w:hAnsi="Cambria Math"/>
                          </w:rPr>
                          <m:t>p</m:t>
                        </m:r>
                      </m:sub>
                    </m:sSub>
                  </m:den>
                </m:f>
                <m:r>
                  <w:rPr>
                    <w:rFonts w:ascii="Cambria Math" w:hAnsi="Cambria Math"/>
                  </w:rPr>
                  <m:t xml:space="preserve">,      </m:t>
                </m:r>
                <m:sSup>
                  <m:sSupPr>
                    <m:ctrlPr>
                      <w:rPr>
                        <w:rFonts w:ascii="Cambria Math" w:hAnsi="Cambria Math"/>
                      </w:rPr>
                    </m:ctrlPr>
                  </m:sSupPr>
                  <m:e>
                    <m:sSub>
                      <m:sSubPr>
                        <m:ctrlPr>
                          <w:rPr>
                            <w:rFonts w:ascii="Cambria Math" w:hAnsi="Cambria Math"/>
                          </w:rPr>
                        </m:ctrlPr>
                      </m:sSubPr>
                      <m:e>
                        <m:r>
                          <w:rPr>
                            <w:rFonts w:ascii="Cambria Math" w:hAnsi="Cambria Math"/>
                          </w:rPr>
                          <m:t>n</m:t>
                        </m:r>
                      </m:e>
                      <m:sub>
                        <m:r>
                          <w:rPr>
                            <w:rFonts w:ascii="Cambria Math" w:hAnsi="Cambria Math"/>
                          </w:rPr>
                          <m:t>p</m:t>
                        </m:r>
                      </m:sub>
                    </m:sSub>
                  </m:e>
                  <m:sup>
                    <m:r>
                      <w:rPr>
                        <w:rFonts w:ascii="Cambria Math" w:hAnsi="Cambria Math"/>
                      </w:rPr>
                      <m:t>pers</m:t>
                    </m:r>
                  </m:sup>
                </m:sSup>
                <m:r>
                  <w:rPr>
                    <w:rFonts w:ascii="Cambria Math" w:hAnsi="Cambria Math"/>
                  </w:rPr>
                  <m:t xml:space="preserve"> = </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h∈p</m:t>
                        </m:r>
                      </m:sub>
                      <m:sup/>
                      <m:e>
                        <m:sSub>
                          <m:sSubPr>
                            <m:ctrlPr>
                              <w:rPr>
                                <w:rFonts w:ascii="Cambria Math" w:hAnsi="Cambria Math"/>
                              </w:rPr>
                            </m:ctrlPr>
                          </m:sSubPr>
                          <m:e>
                            <m:r>
                              <w:rPr>
                                <w:rFonts w:ascii="Cambria Math" w:hAnsi="Cambria Math"/>
                              </w:rPr>
                              <m:t>m</m:t>
                            </m:r>
                          </m:e>
                          <m:sub>
                            <m:r>
                              <w:rPr>
                                <w:rFonts w:ascii="Cambria Math" w:hAnsi="Cambria Math"/>
                              </w:rPr>
                              <m:t>h</m:t>
                            </m:r>
                          </m:sub>
                        </m:sSub>
                        <m:sSub>
                          <m:sSubPr>
                            <m:ctrlPr>
                              <w:rPr>
                                <w:rFonts w:ascii="Cambria Math" w:hAnsi="Cambria Math"/>
                              </w:rPr>
                            </m:ctrlPr>
                          </m:sSubPr>
                          <m:e>
                            <m:r>
                              <w:rPr>
                                <w:rFonts w:ascii="Cambria Math" w:hAnsi="Cambria Math"/>
                              </w:rPr>
                              <m:t>NBI</m:t>
                            </m:r>
                          </m:e>
                          <m:sub>
                            <m:r>
                              <w:rPr>
                                <w:rFonts w:ascii="Cambria Math" w:hAnsi="Cambria Math"/>
                              </w:rPr>
                              <m:t>h</m:t>
                            </m:r>
                          </m:sub>
                        </m:sSub>
                      </m:e>
                    </m:nary>
                  </m:num>
                  <m:den>
                    <m:nary>
                      <m:naryPr>
                        <m:chr m:val="∑"/>
                        <m:limLoc m:val="subSup"/>
                        <m:supHide m:val="1"/>
                        <m:ctrlPr>
                          <w:rPr>
                            <w:rFonts w:ascii="Cambria Math" w:hAnsi="Cambria Math"/>
                          </w:rPr>
                        </m:ctrlPr>
                      </m:naryPr>
                      <m:sub>
                        <m:r>
                          <w:rPr>
                            <w:rFonts w:ascii="Cambria Math" w:hAnsi="Cambria Math"/>
                          </w:rPr>
                          <m:t>h∈p</m:t>
                        </m:r>
                      </m:sub>
                      <m:sup/>
                      <m:e>
                        <m:sSub>
                          <m:sSubPr>
                            <m:ctrlPr>
                              <w:rPr>
                                <w:rFonts w:ascii="Cambria Math" w:hAnsi="Cambria Math"/>
                              </w:rPr>
                            </m:ctrlPr>
                          </m:sSubPr>
                          <m:e>
                            <m:r>
                              <w:rPr>
                                <w:rFonts w:ascii="Cambria Math" w:hAnsi="Cambria Math"/>
                              </w:rPr>
                              <m:t>m</m:t>
                            </m:r>
                          </m:e>
                          <m:sub>
                            <m:r>
                              <w:rPr>
                                <w:rFonts w:ascii="Cambria Math" w:hAnsi="Cambria Math"/>
                              </w:rPr>
                              <m:t>h</m:t>
                            </m:r>
                          </m:sub>
                        </m:sSub>
                      </m:e>
                    </m:nary>
                  </m:den>
                </m:f>
              </m:oMath>
            </m:oMathPara>
          </w:p>
        </w:tc>
        <w:tc>
          <w:tcPr>
            <w:tcW w:w="900" w:type="dxa"/>
            <w:vAlign w:val="center"/>
          </w:tcPr>
          <w:p w14:paraId="4B280E55" w14:textId="77777777" w:rsidR="00FD442D" w:rsidRDefault="00000000">
            <w:pPr>
              <w:jc w:val="right"/>
            </w:pPr>
            <w:r>
              <w:t>(4)</w:t>
            </w:r>
          </w:p>
        </w:tc>
      </w:tr>
    </w:tbl>
    <w:p w14:paraId="44B7D514" w14:textId="77777777" w:rsidR="00B76533" w:rsidRDefault="00000000">
      <w:r>
        <w:t>donde N es el número de hogares de la parroquia p. Usamos hogares como medida principal porque es la unidad en que el INEC define el indicador y porque el área que se pondera es de construido; las personas se reportan como sensibilidad.</w:t>
      </w:r>
    </w:p>
    <w:p w14:paraId="5B763CBA" w14:textId="77777777" w:rsidR="00B76533" w:rsidRDefault="00000000">
      <w:r>
        <w:t>Las tasas se recalcularon desde microdatos del Censo 2022 (5 188 827 hogares en el país y 873 512 en Quito) y se asignaron a la parroquia mediante el código de sector censal de la capa municipal de sectores (Municipio del Distrito Metropolitano de Quito, s. f.-b). La capa municipal de parroquias (s. f.-a) publica tasas ya agregadas, pero su comparación con los microdatos mostró una inconsistencia: en 41 sectores divididos entre dos o tres parroquias, la capa registra hogares y hogares con NBI multiplicados por n³, donde n es el número de partes, mientras su población coincide con la de los microdatos. En los 7 136 sectores no divididos, los hogares coinciden exactamente y los hogares con NBI coinciden en 7 130 (diferencia de un hogar en los seis restantes). Para los sectores divididos repartimos los hogares de los microdatos entre las partes según su población (0.7 % de los hogares) y excluimos 93 hogares sin sector en la capa. La corrección modifica las tasas de 28 parroquias, con una diferencia media de 0.36 puntos porcentuales y máxima de 5.95 (La Libertad, 24.96 % frente a 19.01 %), y no cambia las 13 parroquias prioritarias.</w:t>
      </w:r>
    </w:p>
    <w:p w14:paraId="62048AF4" w14:textId="77777777" w:rsidR="00B76533" w:rsidRDefault="00000000">
      <w:r>
        <w:lastRenderedPageBreak/>
        <w:t>El recálculo coincide con las cifras publicadas por el INEC (2024): a nivel nacional, 1 925 025 hogares (37.1 %) y 6 713 143 personas (39.8 %) con NBI frente a 1 925 141 y 6 713 750 publicados, y en el cantón Quito 367 058 personas (13.7 %) frente a 367 089. En cambio, la suma de las parroquias de la capa municipal da 390 464 personas con NBI, 23 375 más que la cifra del INEC, de las cuales 23 550 se concentran en los sectores divididos (tabla S7).</w:t>
      </w:r>
    </w:p>
    <w:p w14:paraId="6353953F" w14:textId="77777777" w:rsidR="00B76533" w:rsidRDefault="00000000">
      <w:r>
        <w:t>Además del NBI, usamos como objetivos separados el NBI extremo y los porcentajes de acceso insuficiente a saneamiento, acceso limitado a agua segura y hogares con hacinamiento de la capa municipal, reponderados con el mismo criterio en los sectores divididos. Cada porcentaje conserva su denominador y no se suma con los demás, porque sus componentes pueden solaparse con el NBI. La tabla 2 resume las 65 parroquias y la figura 2 mapea cada dimensión.</w:t>
      </w:r>
    </w:p>
    <w:p w14:paraId="18916D3A" w14:textId="77777777" w:rsidR="00B76533" w:rsidRDefault="00000000">
      <w:pPr>
        <w:keepNext/>
      </w:pPr>
      <w:r>
        <w:rPr>
          <w:sz w:val="20"/>
        </w:rPr>
        <w:t>Tabla 2. Resumen estadístico de las parroquias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504"/>
        <w:gridCol w:w="1224"/>
        <w:gridCol w:w="1224"/>
        <w:gridCol w:w="1296"/>
        <w:gridCol w:w="1440"/>
      </w:tblGrid>
      <w:tr w:rsidR="00B76533" w14:paraId="4255EC21" w14:textId="77777777">
        <w:trPr>
          <w:cantSplit/>
          <w:tblHeader/>
          <w:jc w:val="center"/>
        </w:trPr>
        <w:tc>
          <w:tcPr>
            <w:tcW w:w="3384" w:type="dxa"/>
            <w:shd w:val="clear" w:color="auto" w:fill="E9EEF4"/>
            <w:tcMar>
              <w:top w:w="60" w:type="dxa"/>
              <w:left w:w="60" w:type="dxa"/>
              <w:bottom w:w="60" w:type="dxa"/>
              <w:right w:w="60" w:type="dxa"/>
            </w:tcMar>
            <w:vAlign w:val="center"/>
          </w:tcPr>
          <w:p w14:paraId="1E180DA8" w14:textId="77777777" w:rsidR="00B76533" w:rsidRDefault="00000000">
            <w:pPr>
              <w:spacing w:after="20" w:line="252" w:lineRule="auto"/>
              <w:jc w:val="left"/>
            </w:pPr>
            <w:r>
              <w:rPr>
                <w:b/>
                <w:sz w:val="18"/>
              </w:rPr>
              <w:t>Variable</w:t>
            </w:r>
          </w:p>
        </w:tc>
        <w:tc>
          <w:tcPr>
            <w:tcW w:w="504" w:type="dxa"/>
            <w:shd w:val="clear" w:color="auto" w:fill="E9EEF4"/>
            <w:tcMar>
              <w:top w:w="60" w:type="dxa"/>
              <w:left w:w="60" w:type="dxa"/>
              <w:bottom w:w="60" w:type="dxa"/>
              <w:right w:w="60" w:type="dxa"/>
            </w:tcMar>
            <w:vAlign w:val="center"/>
          </w:tcPr>
          <w:p w14:paraId="1BD0B9BB" w14:textId="77777777" w:rsidR="00B76533" w:rsidRDefault="00000000">
            <w:pPr>
              <w:spacing w:after="20" w:line="252" w:lineRule="auto"/>
              <w:jc w:val="left"/>
            </w:pPr>
            <w:r>
              <w:rPr>
                <w:b/>
                <w:sz w:val="18"/>
              </w:rPr>
              <w:t>N</w:t>
            </w:r>
          </w:p>
        </w:tc>
        <w:tc>
          <w:tcPr>
            <w:tcW w:w="1224" w:type="dxa"/>
            <w:shd w:val="clear" w:color="auto" w:fill="E9EEF4"/>
            <w:tcMar>
              <w:top w:w="60" w:type="dxa"/>
              <w:left w:w="60" w:type="dxa"/>
              <w:bottom w:w="60" w:type="dxa"/>
              <w:right w:w="60" w:type="dxa"/>
            </w:tcMar>
            <w:vAlign w:val="center"/>
          </w:tcPr>
          <w:p w14:paraId="3171EA4A" w14:textId="77777777" w:rsidR="00B76533" w:rsidRDefault="00000000">
            <w:pPr>
              <w:spacing w:after="20" w:line="252" w:lineRule="auto"/>
              <w:jc w:val="center"/>
            </w:pPr>
            <w:r>
              <w:rPr>
                <w:b/>
                <w:sz w:val="18"/>
              </w:rPr>
              <w:t>Media</w:t>
            </w:r>
          </w:p>
        </w:tc>
        <w:tc>
          <w:tcPr>
            <w:tcW w:w="1224" w:type="dxa"/>
            <w:shd w:val="clear" w:color="auto" w:fill="E9EEF4"/>
            <w:tcMar>
              <w:top w:w="60" w:type="dxa"/>
              <w:left w:w="60" w:type="dxa"/>
              <w:bottom w:w="60" w:type="dxa"/>
              <w:right w:w="60" w:type="dxa"/>
            </w:tcMar>
            <w:vAlign w:val="center"/>
          </w:tcPr>
          <w:p w14:paraId="7A35EAED" w14:textId="77777777" w:rsidR="00B76533" w:rsidRDefault="00000000">
            <w:pPr>
              <w:spacing w:after="20" w:line="252" w:lineRule="auto"/>
              <w:jc w:val="center"/>
            </w:pPr>
            <w:r>
              <w:rPr>
                <w:b/>
                <w:sz w:val="18"/>
              </w:rPr>
              <w:t>DE</w:t>
            </w:r>
          </w:p>
        </w:tc>
        <w:tc>
          <w:tcPr>
            <w:tcW w:w="1296" w:type="dxa"/>
            <w:shd w:val="clear" w:color="auto" w:fill="E9EEF4"/>
            <w:tcMar>
              <w:top w:w="60" w:type="dxa"/>
              <w:left w:w="60" w:type="dxa"/>
              <w:bottom w:w="60" w:type="dxa"/>
              <w:right w:w="60" w:type="dxa"/>
            </w:tcMar>
            <w:vAlign w:val="center"/>
          </w:tcPr>
          <w:p w14:paraId="01828255" w14:textId="77777777" w:rsidR="00B76533" w:rsidRDefault="00000000">
            <w:pPr>
              <w:spacing w:after="20" w:line="252" w:lineRule="auto"/>
              <w:jc w:val="center"/>
            </w:pPr>
            <w:r>
              <w:rPr>
                <w:b/>
                <w:sz w:val="18"/>
              </w:rPr>
              <w:t>Mínimo</w:t>
            </w:r>
          </w:p>
        </w:tc>
        <w:tc>
          <w:tcPr>
            <w:tcW w:w="1440" w:type="dxa"/>
            <w:shd w:val="clear" w:color="auto" w:fill="E9EEF4"/>
            <w:tcMar>
              <w:top w:w="60" w:type="dxa"/>
              <w:left w:w="60" w:type="dxa"/>
              <w:bottom w:w="60" w:type="dxa"/>
              <w:right w:w="60" w:type="dxa"/>
            </w:tcMar>
            <w:vAlign w:val="center"/>
          </w:tcPr>
          <w:p w14:paraId="06CEB081" w14:textId="77777777" w:rsidR="00B76533" w:rsidRDefault="00000000">
            <w:pPr>
              <w:spacing w:after="20" w:line="252" w:lineRule="auto"/>
              <w:jc w:val="center"/>
            </w:pPr>
            <w:r>
              <w:rPr>
                <w:b/>
                <w:sz w:val="18"/>
              </w:rPr>
              <w:t>Máximo</w:t>
            </w:r>
          </w:p>
        </w:tc>
      </w:tr>
      <w:tr w:rsidR="00B76533" w14:paraId="134C8430" w14:textId="77777777">
        <w:trPr>
          <w:cantSplit/>
          <w:jc w:val="center"/>
        </w:trPr>
        <w:tc>
          <w:tcPr>
            <w:tcW w:w="3384" w:type="dxa"/>
            <w:tcMar>
              <w:top w:w="60" w:type="dxa"/>
              <w:left w:w="60" w:type="dxa"/>
              <w:bottom w:w="60" w:type="dxa"/>
              <w:right w:w="60" w:type="dxa"/>
            </w:tcMar>
            <w:vAlign w:val="center"/>
          </w:tcPr>
          <w:p w14:paraId="755073DB" w14:textId="77777777" w:rsidR="00B76533" w:rsidRDefault="00000000">
            <w:pPr>
              <w:spacing w:after="20" w:line="252" w:lineRule="auto"/>
              <w:jc w:val="left"/>
            </w:pPr>
            <w:r>
              <w:rPr>
                <w:sz w:val="18"/>
              </w:rPr>
              <w:t>Construido analizado (ha)</w:t>
            </w:r>
          </w:p>
        </w:tc>
        <w:tc>
          <w:tcPr>
            <w:tcW w:w="504" w:type="dxa"/>
            <w:tcMar>
              <w:top w:w="60" w:type="dxa"/>
              <w:left w:w="60" w:type="dxa"/>
              <w:bottom w:w="60" w:type="dxa"/>
              <w:right w:w="60" w:type="dxa"/>
            </w:tcMar>
            <w:vAlign w:val="center"/>
          </w:tcPr>
          <w:p w14:paraId="2A799431"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1536EA67" w14:textId="77777777" w:rsidR="00B76533" w:rsidRDefault="00000000">
            <w:pPr>
              <w:spacing w:after="20" w:line="252" w:lineRule="auto"/>
              <w:jc w:val="center"/>
            </w:pPr>
            <w:r>
              <w:rPr>
                <w:sz w:val="18"/>
              </w:rPr>
              <w:t>460.54</w:t>
            </w:r>
          </w:p>
        </w:tc>
        <w:tc>
          <w:tcPr>
            <w:tcW w:w="1224" w:type="dxa"/>
            <w:tcMar>
              <w:top w:w="60" w:type="dxa"/>
              <w:left w:w="60" w:type="dxa"/>
              <w:bottom w:w="60" w:type="dxa"/>
              <w:right w:w="60" w:type="dxa"/>
            </w:tcMar>
            <w:vAlign w:val="center"/>
          </w:tcPr>
          <w:p w14:paraId="76CB39A5" w14:textId="77777777" w:rsidR="00B76533" w:rsidRDefault="00000000">
            <w:pPr>
              <w:spacing w:after="20" w:line="252" w:lineRule="auto"/>
              <w:jc w:val="center"/>
            </w:pPr>
            <w:r>
              <w:rPr>
                <w:sz w:val="18"/>
              </w:rPr>
              <w:t>452.77</w:t>
            </w:r>
          </w:p>
        </w:tc>
        <w:tc>
          <w:tcPr>
            <w:tcW w:w="1296" w:type="dxa"/>
            <w:tcMar>
              <w:top w:w="60" w:type="dxa"/>
              <w:left w:w="60" w:type="dxa"/>
              <w:bottom w:w="60" w:type="dxa"/>
              <w:right w:w="60" w:type="dxa"/>
            </w:tcMar>
            <w:vAlign w:val="center"/>
          </w:tcPr>
          <w:p w14:paraId="6D6F730A" w14:textId="77777777" w:rsidR="00B76533" w:rsidRDefault="00000000">
            <w:pPr>
              <w:spacing w:after="20" w:line="252" w:lineRule="auto"/>
              <w:jc w:val="center"/>
            </w:pPr>
            <w:r>
              <w:rPr>
                <w:sz w:val="18"/>
              </w:rPr>
              <w:t>31.30</w:t>
            </w:r>
          </w:p>
        </w:tc>
        <w:tc>
          <w:tcPr>
            <w:tcW w:w="1440" w:type="dxa"/>
            <w:tcMar>
              <w:top w:w="60" w:type="dxa"/>
              <w:left w:w="60" w:type="dxa"/>
              <w:bottom w:w="60" w:type="dxa"/>
              <w:right w:w="60" w:type="dxa"/>
            </w:tcMar>
            <w:vAlign w:val="center"/>
          </w:tcPr>
          <w:p w14:paraId="679D2976" w14:textId="77777777" w:rsidR="00B76533" w:rsidRDefault="00000000">
            <w:pPr>
              <w:spacing w:after="20" w:line="252" w:lineRule="auto"/>
              <w:jc w:val="center"/>
            </w:pPr>
            <w:r>
              <w:rPr>
                <w:sz w:val="18"/>
              </w:rPr>
              <w:t>2960.35</w:t>
            </w:r>
          </w:p>
        </w:tc>
      </w:tr>
      <w:tr w:rsidR="00B76533" w14:paraId="5992646C" w14:textId="77777777">
        <w:trPr>
          <w:cantSplit/>
          <w:jc w:val="center"/>
        </w:trPr>
        <w:tc>
          <w:tcPr>
            <w:tcW w:w="3384" w:type="dxa"/>
            <w:tcMar>
              <w:top w:w="60" w:type="dxa"/>
              <w:left w:w="60" w:type="dxa"/>
              <w:bottom w:w="60" w:type="dxa"/>
              <w:right w:w="60" w:type="dxa"/>
            </w:tcMar>
            <w:vAlign w:val="center"/>
          </w:tcPr>
          <w:p w14:paraId="7977E3A0" w14:textId="77777777" w:rsidR="00B76533" w:rsidRDefault="00000000">
            <w:pPr>
              <w:spacing w:after="20" w:line="252" w:lineRule="auto"/>
              <w:jc w:val="left"/>
            </w:pPr>
            <w:r>
              <w:rPr>
                <w:sz w:val="18"/>
              </w:rPr>
              <w:t>Decil superior (ha)</w:t>
            </w:r>
          </w:p>
        </w:tc>
        <w:tc>
          <w:tcPr>
            <w:tcW w:w="504" w:type="dxa"/>
            <w:tcMar>
              <w:top w:w="60" w:type="dxa"/>
              <w:left w:w="60" w:type="dxa"/>
              <w:bottom w:w="60" w:type="dxa"/>
              <w:right w:w="60" w:type="dxa"/>
            </w:tcMar>
            <w:vAlign w:val="center"/>
          </w:tcPr>
          <w:p w14:paraId="07646831"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31FDC50B" w14:textId="77777777" w:rsidR="00B76533" w:rsidRDefault="00000000">
            <w:pPr>
              <w:spacing w:after="20" w:line="252" w:lineRule="auto"/>
              <w:jc w:val="center"/>
            </w:pPr>
            <w:r>
              <w:rPr>
                <w:sz w:val="18"/>
              </w:rPr>
              <w:t>46.05</w:t>
            </w:r>
          </w:p>
        </w:tc>
        <w:tc>
          <w:tcPr>
            <w:tcW w:w="1224" w:type="dxa"/>
            <w:tcMar>
              <w:top w:w="60" w:type="dxa"/>
              <w:left w:w="60" w:type="dxa"/>
              <w:bottom w:w="60" w:type="dxa"/>
              <w:right w:w="60" w:type="dxa"/>
            </w:tcMar>
            <w:vAlign w:val="center"/>
          </w:tcPr>
          <w:p w14:paraId="6F7CF509" w14:textId="77777777" w:rsidR="00B76533" w:rsidRDefault="00000000">
            <w:pPr>
              <w:spacing w:after="20" w:line="252" w:lineRule="auto"/>
              <w:jc w:val="center"/>
            </w:pPr>
            <w:r>
              <w:rPr>
                <w:sz w:val="18"/>
              </w:rPr>
              <w:t>65.47</w:t>
            </w:r>
          </w:p>
        </w:tc>
        <w:tc>
          <w:tcPr>
            <w:tcW w:w="1296" w:type="dxa"/>
            <w:tcMar>
              <w:top w:w="60" w:type="dxa"/>
              <w:left w:w="60" w:type="dxa"/>
              <w:bottom w:w="60" w:type="dxa"/>
              <w:right w:w="60" w:type="dxa"/>
            </w:tcMar>
            <w:vAlign w:val="center"/>
          </w:tcPr>
          <w:p w14:paraId="27D14365" w14:textId="77777777" w:rsidR="00B76533" w:rsidRDefault="00000000">
            <w:pPr>
              <w:spacing w:after="20" w:line="252" w:lineRule="auto"/>
              <w:jc w:val="center"/>
            </w:pPr>
            <w:r>
              <w:rPr>
                <w:sz w:val="18"/>
              </w:rPr>
              <w:t>0.00</w:t>
            </w:r>
          </w:p>
        </w:tc>
        <w:tc>
          <w:tcPr>
            <w:tcW w:w="1440" w:type="dxa"/>
            <w:tcMar>
              <w:top w:w="60" w:type="dxa"/>
              <w:left w:w="60" w:type="dxa"/>
              <w:bottom w:w="60" w:type="dxa"/>
              <w:right w:w="60" w:type="dxa"/>
            </w:tcMar>
            <w:vAlign w:val="center"/>
          </w:tcPr>
          <w:p w14:paraId="22134D8A" w14:textId="77777777" w:rsidR="00B76533" w:rsidRDefault="00000000">
            <w:pPr>
              <w:spacing w:after="20" w:line="252" w:lineRule="auto"/>
              <w:jc w:val="center"/>
            </w:pPr>
            <w:r>
              <w:rPr>
                <w:sz w:val="18"/>
              </w:rPr>
              <w:t>327.28</w:t>
            </w:r>
          </w:p>
        </w:tc>
      </w:tr>
      <w:tr w:rsidR="00B76533" w14:paraId="0FED3D23" w14:textId="77777777">
        <w:trPr>
          <w:cantSplit/>
          <w:jc w:val="center"/>
        </w:trPr>
        <w:tc>
          <w:tcPr>
            <w:tcW w:w="3384" w:type="dxa"/>
            <w:tcMar>
              <w:top w:w="60" w:type="dxa"/>
              <w:left w:w="60" w:type="dxa"/>
              <w:bottom w:w="60" w:type="dxa"/>
              <w:right w:w="60" w:type="dxa"/>
            </w:tcMar>
            <w:vAlign w:val="center"/>
          </w:tcPr>
          <w:p w14:paraId="60237366" w14:textId="77777777" w:rsidR="00B76533" w:rsidRDefault="00000000">
            <w:pPr>
              <w:spacing w:after="20" w:line="252" w:lineRule="auto"/>
              <w:jc w:val="left"/>
            </w:pPr>
            <w:r>
              <w:rPr>
                <w:sz w:val="18"/>
              </w:rPr>
              <w:t>Decil superior (%)</w:t>
            </w:r>
          </w:p>
        </w:tc>
        <w:tc>
          <w:tcPr>
            <w:tcW w:w="504" w:type="dxa"/>
            <w:tcMar>
              <w:top w:w="60" w:type="dxa"/>
              <w:left w:w="60" w:type="dxa"/>
              <w:bottom w:w="60" w:type="dxa"/>
              <w:right w:w="60" w:type="dxa"/>
            </w:tcMar>
            <w:vAlign w:val="center"/>
          </w:tcPr>
          <w:p w14:paraId="4B0F0D09"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1B73EB36" w14:textId="77777777" w:rsidR="00B76533" w:rsidRDefault="00000000">
            <w:pPr>
              <w:spacing w:after="20" w:line="252" w:lineRule="auto"/>
              <w:jc w:val="center"/>
            </w:pPr>
            <w:r>
              <w:rPr>
                <w:sz w:val="18"/>
              </w:rPr>
              <w:t>7.93</w:t>
            </w:r>
          </w:p>
        </w:tc>
        <w:tc>
          <w:tcPr>
            <w:tcW w:w="1224" w:type="dxa"/>
            <w:tcMar>
              <w:top w:w="60" w:type="dxa"/>
              <w:left w:w="60" w:type="dxa"/>
              <w:bottom w:w="60" w:type="dxa"/>
              <w:right w:w="60" w:type="dxa"/>
            </w:tcMar>
            <w:vAlign w:val="center"/>
          </w:tcPr>
          <w:p w14:paraId="49134165" w14:textId="77777777" w:rsidR="00B76533" w:rsidRDefault="00000000">
            <w:pPr>
              <w:spacing w:after="20" w:line="252" w:lineRule="auto"/>
              <w:jc w:val="center"/>
            </w:pPr>
            <w:r>
              <w:rPr>
                <w:sz w:val="18"/>
              </w:rPr>
              <w:t>8.57</w:t>
            </w:r>
          </w:p>
        </w:tc>
        <w:tc>
          <w:tcPr>
            <w:tcW w:w="1296" w:type="dxa"/>
            <w:tcMar>
              <w:top w:w="60" w:type="dxa"/>
              <w:left w:w="60" w:type="dxa"/>
              <w:bottom w:w="60" w:type="dxa"/>
              <w:right w:w="60" w:type="dxa"/>
            </w:tcMar>
            <w:vAlign w:val="center"/>
          </w:tcPr>
          <w:p w14:paraId="02C0A42D" w14:textId="77777777" w:rsidR="00B76533" w:rsidRDefault="00000000">
            <w:pPr>
              <w:spacing w:after="20" w:line="252" w:lineRule="auto"/>
              <w:jc w:val="center"/>
            </w:pPr>
            <w:r>
              <w:rPr>
                <w:sz w:val="18"/>
              </w:rPr>
              <w:t>0.00</w:t>
            </w:r>
          </w:p>
        </w:tc>
        <w:tc>
          <w:tcPr>
            <w:tcW w:w="1440" w:type="dxa"/>
            <w:tcMar>
              <w:top w:w="60" w:type="dxa"/>
              <w:left w:w="60" w:type="dxa"/>
              <w:bottom w:w="60" w:type="dxa"/>
              <w:right w:w="60" w:type="dxa"/>
            </w:tcMar>
            <w:vAlign w:val="center"/>
          </w:tcPr>
          <w:p w14:paraId="3366F5B7" w14:textId="77777777" w:rsidR="00B76533" w:rsidRDefault="00000000">
            <w:pPr>
              <w:spacing w:after="20" w:line="252" w:lineRule="auto"/>
              <w:jc w:val="center"/>
            </w:pPr>
            <w:r>
              <w:rPr>
                <w:sz w:val="18"/>
              </w:rPr>
              <w:t>34.71</w:t>
            </w:r>
          </w:p>
        </w:tc>
      </w:tr>
      <w:tr w:rsidR="00B76533" w14:paraId="65F7E702" w14:textId="77777777">
        <w:trPr>
          <w:cantSplit/>
          <w:jc w:val="center"/>
        </w:trPr>
        <w:tc>
          <w:tcPr>
            <w:tcW w:w="3384" w:type="dxa"/>
            <w:tcMar>
              <w:top w:w="60" w:type="dxa"/>
              <w:left w:w="60" w:type="dxa"/>
              <w:bottom w:w="60" w:type="dxa"/>
              <w:right w:w="60" w:type="dxa"/>
            </w:tcMar>
            <w:vAlign w:val="center"/>
          </w:tcPr>
          <w:p w14:paraId="1B4F0F0E" w14:textId="77777777" w:rsidR="00B76533" w:rsidRDefault="00000000">
            <w:pPr>
              <w:spacing w:after="20" w:line="252" w:lineRule="auto"/>
              <w:jc w:val="left"/>
            </w:pPr>
            <w:r>
              <w:rPr>
                <w:sz w:val="18"/>
              </w:rPr>
              <w:t>Hogares con NBI (%)</w:t>
            </w:r>
          </w:p>
        </w:tc>
        <w:tc>
          <w:tcPr>
            <w:tcW w:w="504" w:type="dxa"/>
            <w:tcMar>
              <w:top w:w="60" w:type="dxa"/>
              <w:left w:w="60" w:type="dxa"/>
              <w:bottom w:w="60" w:type="dxa"/>
              <w:right w:w="60" w:type="dxa"/>
            </w:tcMar>
            <w:vAlign w:val="center"/>
          </w:tcPr>
          <w:p w14:paraId="43014D6C"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24041110" w14:textId="77777777" w:rsidR="00B76533" w:rsidRDefault="00000000">
            <w:pPr>
              <w:spacing w:after="20" w:line="252" w:lineRule="auto"/>
              <w:jc w:val="center"/>
            </w:pPr>
            <w:r>
              <w:rPr>
                <w:sz w:val="18"/>
              </w:rPr>
              <w:t>19.41</w:t>
            </w:r>
          </w:p>
        </w:tc>
        <w:tc>
          <w:tcPr>
            <w:tcW w:w="1224" w:type="dxa"/>
            <w:tcMar>
              <w:top w:w="60" w:type="dxa"/>
              <w:left w:w="60" w:type="dxa"/>
              <w:bottom w:w="60" w:type="dxa"/>
              <w:right w:w="60" w:type="dxa"/>
            </w:tcMar>
            <w:vAlign w:val="center"/>
          </w:tcPr>
          <w:p w14:paraId="4B0F4AB5" w14:textId="77777777" w:rsidR="00B76533" w:rsidRDefault="00000000">
            <w:pPr>
              <w:spacing w:after="20" w:line="252" w:lineRule="auto"/>
              <w:jc w:val="center"/>
            </w:pPr>
            <w:r>
              <w:rPr>
                <w:sz w:val="18"/>
              </w:rPr>
              <w:t>15.04</w:t>
            </w:r>
          </w:p>
        </w:tc>
        <w:tc>
          <w:tcPr>
            <w:tcW w:w="1296" w:type="dxa"/>
            <w:tcMar>
              <w:top w:w="60" w:type="dxa"/>
              <w:left w:w="60" w:type="dxa"/>
              <w:bottom w:w="60" w:type="dxa"/>
              <w:right w:w="60" w:type="dxa"/>
            </w:tcMar>
            <w:vAlign w:val="center"/>
          </w:tcPr>
          <w:p w14:paraId="24B1EEED" w14:textId="77777777" w:rsidR="00B76533" w:rsidRDefault="00000000">
            <w:pPr>
              <w:spacing w:after="20" w:line="252" w:lineRule="auto"/>
              <w:jc w:val="center"/>
            </w:pPr>
            <w:r>
              <w:rPr>
                <w:sz w:val="18"/>
              </w:rPr>
              <w:t>3.69</w:t>
            </w:r>
          </w:p>
        </w:tc>
        <w:tc>
          <w:tcPr>
            <w:tcW w:w="1440" w:type="dxa"/>
            <w:tcMar>
              <w:top w:w="60" w:type="dxa"/>
              <w:left w:w="60" w:type="dxa"/>
              <w:bottom w:w="60" w:type="dxa"/>
              <w:right w:w="60" w:type="dxa"/>
            </w:tcMar>
            <w:vAlign w:val="center"/>
          </w:tcPr>
          <w:p w14:paraId="5927C686" w14:textId="77777777" w:rsidR="00B76533" w:rsidRDefault="00000000">
            <w:pPr>
              <w:spacing w:after="20" w:line="252" w:lineRule="auto"/>
              <w:jc w:val="center"/>
            </w:pPr>
            <w:r>
              <w:rPr>
                <w:sz w:val="18"/>
              </w:rPr>
              <w:t>68.83</w:t>
            </w:r>
          </w:p>
        </w:tc>
      </w:tr>
      <w:tr w:rsidR="00B76533" w14:paraId="5705B7EB" w14:textId="77777777">
        <w:trPr>
          <w:cantSplit/>
          <w:jc w:val="center"/>
        </w:trPr>
        <w:tc>
          <w:tcPr>
            <w:tcW w:w="3384" w:type="dxa"/>
            <w:tcMar>
              <w:top w:w="60" w:type="dxa"/>
              <w:left w:w="60" w:type="dxa"/>
              <w:bottom w:w="60" w:type="dxa"/>
              <w:right w:w="60" w:type="dxa"/>
            </w:tcMar>
            <w:vAlign w:val="center"/>
          </w:tcPr>
          <w:p w14:paraId="726619E1" w14:textId="77777777" w:rsidR="00B76533" w:rsidRDefault="00000000">
            <w:pPr>
              <w:spacing w:after="20" w:line="252" w:lineRule="auto"/>
              <w:jc w:val="left"/>
            </w:pPr>
            <w:r>
              <w:rPr>
                <w:sz w:val="18"/>
              </w:rPr>
              <w:t>Personas con NBI (%), sensibilidad</w:t>
            </w:r>
          </w:p>
        </w:tc>
        <w:tc>
          <w:tcPr>
            <w:tcW w:w="504" w:type="dxa"/>
            <w:tcMar>
              <w:top w:w="60" w:type="dxa"/>
              <w:left w:w="60" w:type="dxa"/>
              <w:bottom w:w="60" w:type="dxa"/>
              <w:right w:w="60" w:type="dxa"/>
            </w:tcMar>
            <w:vAlign w:val="center"/>
          </w:tcPr>
          <w:p w14:paraId="51FBCAFE"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43A74EA9" w14:textId="77777777" w:rsidR="00B76533" w:rsidRDefault="00000000">
            <w:pPr>
              <w:spacing w:after="20" w:line="252" w:lineRule="auto"/>
              <w:jc w:val="center"/>
            </w:pPr>
            <w:r>
              <w:rPr>
                <w:sz w:val="18"/>
              </w:rPr>
              <w:t>20.76</w:t>
            </w:r>
          </w:p>
        </w:tc>
        <w:tc>
          <w:tcPr>
            <w:tcW w:w="1224" w:type="dxa"/>
            <w:tcMar>
              <w:top w:w="60" w:type="dxa"/>
              <w:left w:w="60" w:type="dxa"/>
              <w:bottom w:w="60" w:type="dxa"/>
              <w:right w:w="60" w:type="dxa"/>
            </w:tcMar>
            <w:vAlign w:val="center"/>
          </w:tcPr>
          <w:p w14:paraId="048181D0" w14:textId="77777777" w:rsidR="00B76533" w:rsidRDefault="00000000">
            <w:pPr>
              <w:spacing w:after="20" w:line="252" w:lineRule="auto"/>
              <w:jc w:val="center"/>
            </w:pPr>
            <w:r>
              <w:rPr>
                <w:sz w:val="18"/>
              </w:rPr>
              <w:t>14.65</w:t>
            </w:r>
          </w:p>
        </w:tc>
        <w:tc>
          <w:tcPr>
            <w:tcW w:w="1296" w:type="dxa"/>
            <w:tcMar>
              <w:top w:w="60" w:type="dxa"/>
              <w:left w:w="60" w:type="dxa"/>
              <w:bottom w:w="60" w:type="dxa"/>
              <w:right w:w="60" w:type="dxa"/>
            </w:tcMar>
            <w:vAlign w:val="center"/>
          </w:tcPr>
          <w:p w14:paraId="775DC8EC" w14:textId="77777777" w:rsidR="00B76533" w:rsidRDefault="00000000">
            <w:pPr>
              <w:spacing w:after="20" w:line="252" w:lineRule="auto"/>
              <w:jc w:val="center"/>
            </w:pPr>
            <w:r>
              <w:rPr>
                <w:sz w:val="18"/>
              </w:rPr>
              <w:t>4.63</w:t>
            </w:r>
          </w:p>
        </w:tc>
        <w:tc>
          <w:tcPr>
            <w:tcW w:w="1440" w:type="dxa"/>
            <w:tcMar>
              <w:top w:w="60" w:type="dxa"/>
              <w:left w:w="60" w:type="dxa"/>
              <w:bottom w:w="60" w:type="dxa"/>
              <w:right w:w="60" w:type="dxa"/>
            </w:tcMar>
            <w:vAlign w:val="center"/>
          </w:tcPr>
          <w:p w14:paraId="63F2070F" w14:textId="77777777" w:rsidR="00B76533" w:rsidRDefault="00000000">
            <w:pPr>
              <w:spacing w:after="20" w:line="252" w:lineRule="auto"/>
              <w:jc w:val="center"/>
            </w:pPr>
            <w:r>
              <w:rPr>
                <w:sz w:val="18"/>
              </w:rPr>
              <w:t>69.24</w:t>
            </w:r>
          </w:p>
        </w:tc>
      </w:tr>
      <w:tr w:rsidR="00B76533" w14:paraId="0C247755" w14:textId="77777777">
        <w:trPr>
          <w:cantSplit/>
          <w:jc w:val="center"/>
        </w:trPr>
        <w:tc>
          <w:tcPr>
            <w:tcW w:w="3384" w:type="dxa"/>
            <w:tcMar>
              <w:top w:w="60" w:type="dxa"/>
              <w:left w:w="60" w:type="dxa"/>
              <w:bottom w:w="60" w:type="dxa"/>
              <w:right w:w="60" w:type="dxa"/>
            </w:tcMar>
            <w:vAlign w:val="center"/>
          </w:tcPr>
          <w:p w14:paraId="116D9AAD" w14:textId="77777777" w:rsidR="00B76533" w:rsidRDefault="00000000">
            <w:pPr>
              <w:spacing w:after="20" w:line="252" w:lineRule="auto"/>
              <w:jc w:val="left"/>
            </w:pPr>
            <w:r>
              <w:rPr>
                <w:sz w:val="18"/>
              </w:rPr>
              <w:t>Saneamiento inadecuado (%)</w:t>
            </w:r>
          </w:p>
        </w:tc>
        <w:tc>
          <w:tcPr>
            <w:tcW w:w="504" w:type="dxa"/>
            <w:tcMar>
              <w:top w:w="60" w:type="dxa"/>
              <w:left w:w="60" w:type="dxa"/>
              <w:bottom w:w="60" w:type="dxa"/>
              <w:right w:w="60" w:type="dxa"/>
            </w:tcMar>
            <w:vAlign w:val="center"/>
          </w:tcPr>
          <w:p w14:paraId="34D38C55"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32BB562C" w14:textId="77777777" w:rsidR="00B76533" w:rsidRDefault="00000000">
            <w:pPr>
              <w:spacing w:after="20" w:line="252" w:lineRule="auto"/>
              <w:jc w:val="center"/>
            </w:pPr>
            <w:r>
              <w:rPr>
                <w:sz w:val="18"/>
              </w:rPr>
              <w:t>3.56</w:t>
            </w:r>
          </w:p>
        </w:tc>
        <w:tc>
          <w:tcPr>
            <w:tcW w:w="1224" w:type="dxa"/>
            <w:tcMar>
              <w:top w:w="60" w:type="dxa"/>
              <w:left w:w="60" w:type="dxa"/>
              <w:bottom w:w="60" w:type="dxa"/>
              <w:right w:w="60" w:type="dxa"/>
            </w:tcMar>
            <w:vAlign w:val="center"/>
          </w:tcPr>
          <w:p w14:paraId="57E59FCA" w14:textId="77777777" w:rsidR="00B76533" w:rsidRDefault="00000000">
            <w:pPr>
              <w:spacing w:after="20" w:line="252" w:lineRule="auto"/>
              <w:jc w:val="center"/>
            </w:pPr>
            <w:r>
              <w:rPr>
                <w:sz w:val="18"/>
              </w:rPr>
              <w:t>4.71</w:t>
            </w:r>
          </w:p>
        </w:tc>
        <w:tc>
          <w:tcPr>
            <w:tcW w:w="1296" w:type="dxa"/>
            <w:tcMar>
              <w:top w:w="60" w:type="dxa"/>
              <w:left w:w="60" w:type="dxa"/>
              <w:bottom w:w="60" w:type="dxa"/>
              <w:right w:w="60" w:type="dxa"/>
            </w:tcMar>
            <w:vAlign w:val="center"/>
          </w:tcPr>
          <w:p w14:paraId="1F2FDF01" w14:textId="77777777" w:rsidR="00B76533" w:rsidRDefault="00000000">
            <w:pPr>
              <w:spacing w:after="20" w:line="252" w:lineRule="auto"/>
              <w:jc w:val="center"/>
            </w:pPr>
            <w:r>
              <w:rPr>
                <w:sz w:val="18"/>
              </w:rPr>
              <w:t>0.06</w:t>
            </w:r>
          </w:p>
        </w:tc>
        <w:tc>
          <w:tcPr>
            <w:tcW w:w="1440" w:type="dxa"/>
            <w:tcMar>
              <w:top w:w="60" w:type="dxa"/>
              <w:left w:w="60" w:type="dxa"/>
              <w:bottom w:w="60" w:type="dxa"/>
              <w:right w:w="60" w:type="dxa"/>
            </w:tcMar>
            <w:vAlign w:val="center"/>
          </w:tcPr>
          <w:p w14:paraId="0A8ADBF2" w14:textId="77777777" w:rsidR="00B76533" w:rsidRDefault="00000000">
            <w:pPr>
              <w:spacing w:after="20" w:line="252" w:lineRule="auto"/>
              <w:jc w:val="center"/>
            </w:pPr>
            <w:r>
              <w:rPr>
                <w:sz w:val="18"/>
              </w:rPr>
              <w:t>20.11</w:t>
            </w:r>
          </w:p>
        </w:tc>
      </w:tr>
      <w:tr w:rsidR="00B76533" w14:paraId="56AC0428" w14:textId="77777777">
        <w:trPr>
          <w:cantSplit/>
          <w:jc w:val="center"/>
        </w:trPr>
        <w:tc>
          <w:tcPr>
            <w:tcW w:w="3384" w:type="dxa"/>
            <w:tcMar>
              <w:top w:w="60" w:type="dxa"/>
              <w:left w:w="60" w:type="dxa"/>
              <w:bottom w:w="60" w:type="dxa"/>
              <w:right w:w="60" w:type="dxa"/>
            </w:tcMar>
            <w:vAlign w:val="center"/>
          </w:tcPr>
          <w:p w14:paraId="6E02B5FE" w14:textId="77777777" w:rsidR="00B76533" w:rsidRDefault="00000000">
            <w:pPr>
              <w:spacing w:after="20" w:line="252" w:lineRule="auto"/>
              <w:jc w:val="left"/>
            </w:pPr>
            <w:r>
              <w:rPr>
                <w:sz w:val="18"/>
              </w:rPr>
              <w:t>Agua limitada (%)</w:t>
            </w:r>
          </w:p>
        </w:tc>
        <w:tc>
          <w:tcPr>
            <w:tcW w:w="504" w:type="dxa"/>
            <w:tcMar>
              <w:top w:w="60" w:type="dxa"/>
              <w:left w:w="60" w:type="dxa"/>
              <w:bottom w:w="60" w:type="dxa"/>
              <w:right w:w="60" w:type="dxa"/>
            </w:tcMar>
            <w:vAlign w:val="center"/>
          </w:tcPr>
          <w:p w14:paraId="790CC15D"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796302CB" w14:textId="77777777" w:rsidR="00B76533" w:rsidRDefault="00000000">
            <w:pPr>
              <w:spacing w:after="20" w:line="252" w:lineRule="auto"/>
              <w:jc w:val="center"/>
            </w:pPr>
            <w:r>
              <w:rPr>
                <w:sz w:val="18"/>
              </w:rPr>
              <w:t>12.15</w:t>
            </w:r>
          </w:p>
        </w:tc>
        <w:tc>
          <w:tcPr>
            <w:tcW w:w="1224" w:type="dxa"/>
            <w:tcMar>
              <w:top w:w="60" w:type="dxa"/>
              <w:left w:w="60" w:type="dxa"/>
              <w:bottom w:w="60" w:type="dxa"/>
              <w:right w:w="60" w:type="dxa"/>
            </w:tcMar>
            <w:vAlign w:val="center"/>
          </w:tcPr>
          <w:p w14:paraId="666F293E" w14:textId="77777777" w:rsidR="00B76533" w:rsidRDefault="00000000">
            <w:pPr>
              <w:spacing w:after="20" w:line="252" w:lineRule="auto"/>
              <w:jc w:val="center"/>
            </w:pPr>
            <w:r>
              <w:rPr>
                <w:sz w:val="18"/>
              </w:rPr>
              <w:t>13.18</w:t>
            </w:r>
          </w:p>
        </w:tc>
        <w:tc>
          <w:tcPr>
            <w:tcW w:w="1296" w:type="dxa"/>
            <w:tcMar>
              <w:top w:w="60" w:type="dxa"/>
              <w:left w:w="60" w:type="dxa"/>
              <w:bottom w:w="60" w:type="dxa"/>
              <w:right w:w="60" w:type="dxa"/>
            </w:tcMar>
            <w:vAlign w:val="center"/>
          </w:tcPr>
          <w:p w14:paraId="518E2755" w14:textId="77777777" w:rsidR="00B76533" w:rsidRDefault="00000000">
            <w:pPr>
              <w:spacing w:after="20" w:line="252" w:lineRule="auto"/>
              <w:jc w:val="center"/>
            </w:pPr>
            <w:r>
              <w:rPr>
                <w:sz w:val="18"/>
              </w:rPr>
              <w:t>1.77</w:t>
            </w:r>
          </w:p>
        </w:tc>
        <w:tc>
          <w:tcPr>
            <w:tcW w:w="1440" w:type="dxa"/>
            <w:tcMar>
              <w:top w:w="60" w:type="dxa"/>
              <w:left w:w="60" w:type="dxa"/>
              <w:bottom w:w="60" w:type="dxa"/>
              <w:right w:w="60" w:type="dxa"/>
            </w:tcMar>
            <w:vAlign w:val="center"/>
          </w:tcPr>
          <w:p w14:paraId="5587D2BA" w14:textId="77777777" w:rsidR="00B76533" w:rsidRDefault="00000000">
            <w:pPr>
              <w:spacing w:after="20" w:line="252" w:lineRule="auto"/>
              <w:jc w:val="center"/>
            </w:pPr>
            <w:r>
              <w:rPr>
                <w:sz w:val="18"/>
              </w:rPr>
              <w:t>61.03</w:t>
            </w:r>
          </w:p>
        </w:tc>
      </w:tr>
      <w:tr w:rsidR="00B76533" w14:paraId="7F369D3F" w14:textId="77777777">
        <w:trPr>
          <w:cantSplit/>
          <w:jc w:val="center"/>
        </w:trPr>
        <w:tc>
          <w:tcPr>
            <w:tcW w:w="3384" w:type="dxa"/>
            <w:tcMar>
              <w:top w:w="60" w:type="dxa"/>
              <w:left w:w="60" w:type="dxa"/>
              <w:bottom w:w="60" w:type="dxa"/>
              <w:right w:w="60" w:type="dxa"/>
            </w:tcMar>
            <w:vAlign w:val="center"/>
          </w:tcPr>
          <w:p w14:paraId="20286386" w14:textId="77777777" w:rsidR="00B76533" w:rsidRDefault="00000000">
            <w:pPr>
              <w:spacing w:after="20" w:line="252" w:lineRule="auto"/>
              <w:jc w:val="left"/>
            </w:pPr>
            <w:r>
              <w:rPr>
                <w:sz w:val="18"/>
              </w:rPr>
              <w:t>Hacinamiento (%)</w:t>
            </w:r>
          </w:p>
        </w:tc>
        <w:tc>
          <w:tcPr>
            <w:tcW w:w="504" w:type="dxa"/>
            <w:tcMar>
              <w:top w:w="60" w:type="dxa"/>
              <w:left w:w="60" w:type="dxa"/>
              <w:bottom w:w="60" w:type="dxa"/>
              <w:right w:w="60" w:type="dxa"/>
            </w:tcMar>
            <w:vAlign w:val="center"/>
          </w:tcPr>
          <w:p w14:paraId="487EE239"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46B976AE" w14:textId="77777777" w:rsidR="00B76533" w:rsidRDefault="00000000">
            <w:pPr>
              <w:spacing w:after="20" w:line="252" w:lineRule="auto"/>
              <w:jc w:val="center"/>
            </w:pPr>
            <w:r>
              <w:rPr>
                <w:sz w:val="18"/>
              </w:rPr>
              <w:t>3.88</w:t>
            </w:r>
          </w:p>
        </w:tc>
        <w:tc>
          <w:tcPr>
            <w:tcW w:w="1224" w:type="dxa"/>
            <w:tcMar>
              <w:top w:w="60" w:type="dxa"/>
              <w:left w:w="60" w:type="dxa"/>
              <w:bottom w:w="60" w:type="dxa"/>
              <w:right w:w="60" w:type="dxa"/>
            </w:tcMar>
            <w:vAlign w:val="center"/>
          </w:tcPr>
          <w:p w14:paraId="540AC01C" w14:textId="77777777" w:rsidR="00B76533" w:rsidRDefault="00000000">
            <w:pPr>
              <w:spacing w:after="20" w:line="252" w:lineRule="auto"/>
              <w:jc w:val="center"/>
            </w:pPr>
            <w:r>
              <w:rPr>
                <w:sz w:val="18"/>
              </w:rPr>
              <w:t>1.97</w:t>
            </w:r>
          </w:p>
        </w:tc>
        <w:tc>
          <w:tcPr>
            <w:tcW w:w="1296" w:type="dxa"/>
            <w:tcMar>
              <w:top w:w="60" w:type="dxa"/>
              <w:left w:w="60" w:type="dxa"/>
              <w:bottom w:w="60" w:type="dxa"/>
              <w:right w:w="60" w:type="dxa"/>
            </w:tcMar>
            <w:vAlign w:val="center"/>
          </w:tcPr>
          <w:p w14:paraId="3B78D647" w14:textId="77777777" w:rsidR="00B76533" w:rsidRDefault="00000000">
            <w:pPr>
              <w:spacing w:after="20" w:line="252" w:lineRule="auto"/>
              <w:jc w:val="center"/>
            </w:pPr>
            <w:r>
              <w:rPr>
                <w:sz w:val="18"/>
              </w:rPr>
              <w:t>0.46</w:t>
            </w:r>
          </w:p>
        </w:tc>
        <w:tc>
          <w:tcPr>
            <w:tcW w:w="1440" w:type="dxa"/>
            <w:tcMar>
              <w:top w:w="60" w:type="dxa"/>
              <w:left w:w="60" w:type="dxa"/>
              <w:bottom w:w="60" w:type="dxa"/>
              <w:right w:w="60" w:type="dxa"/>
            </w:tcMar>
            <w:vAlign w:val="center"/>
          </w:tcPr>
          <w:p w14:paraId="25C12F0C" w14:textId="77777777" w:rsidR="00B76533" w:rsidRDefault="00000000">
            <w:pPr>
              <w:spacing w:after="20" w:line="252" w:lineRule="auto"/>
              <w:jc w:val="center"/>
            </w:pPr>
            <w:r>
              <w:rPr>
                <w:sz w:val="18"/>
              </w:rPr>
              <w:t>9.44</w:t>
            </w:r>
          </w:p>
        </w:tc>
      </w:tr>
      <w:tr w:rsidR="00B76533" w14:paraId="6244418C" w14:textId="77777777">
        <w:trPr>
          <w:cantSplit/>
          <w:jc w:val="center"/>
        </w:trPr>
        <w:tc>
          <w:tcPr>
            <w:tcW w:w="3384" w:type="dxa"/>
            <w:tcMar>
              <w:top w:w="60" w:type="dxa"/>
              <w:left w:w="60" w:type="dxa"/>
              <w:bottom w:w="60" w:type="dxa"/>
              <w:right w:w="60" w:type="dxa"/>
            </w:tcMar>
            <w:vAlign w:val="center"/>
          </w:tcPr>
          <w:p w14:paraId="6D3B7B6F" w14:textId="77777777" w:rsidR="00B76533" w:rsidRDefault="00000000">
            <w:pPr>
              <w:spacing w:after="20" w:line="252" w:lineRule="auto"/>
              <w:jc w:val="left"/>
            </w:pPr>
            <w:r>
              <w:rPr>
                <w:sz w:val="18"/>
              </w:rPr>
              <w:t>Probabilidad húmeda (0–1)</w:t>
            </w:r>
          </w:p>
        </w:tc>
        <w:tc>
          <w:tcPr>
            <w:tcW w:w="504" w:type="dxa"/>
            <w:tcMar>
              <w:top w:w="60" w:type="dxa"/>
              <w:left w:w="60" w:type="dxa"/>
              <w:bottom w:w="60" w:type="dxa"/>
              <w:right w:w="60" w:type="dxa"/>
            </w:tcMar>
            <w:vAlign w:val="center"/>
          </w:tcPr>
          <w:p w14:paraId="1DFB53C7"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4DC9B5E9" w14:textId="77777777" w:rsidR="00B76533" w:rsidRDefault="00000000">
            <w:pPr>
              <w:spacing w:after="20" w:line="252" w:lineRule="auto"/>
              <w:jc w:val="center"/>
            </w:pPr>
            <w:r>
              <w:rPr>
                <w:sz w:val="18"/>
              </w:rPr>
              <w:t>0.56</w:t>
            </w:r>
          </w:p>
        </w:tc>
        <w:tc>
          <w:tcPr>
            <w:tcW w:w="1224" w:type="dxa"/>
            <w:tcMar>
              <w:top w:w="60" w:type="dxa"/>
              <w:left w:w="60" w:type="dxa"/>
              <w:bottom w:w="60" w:type="dxa"/>
              <w:right w:w="60" w:type="dxa"/>
            </w:tcMar>
            <w:vAlign w:val="center"/>
          </w:tcPr>
          <w:p w14:paraId="4E548376" w14:textId="77777777" w:rsidR="00B76533" w:rsidRDefault="00000000">
            <w:pPr>
              <w:spacing w:after="20" w:line="252" w:lineRule="auto"/>
              <w:jc w:val="center"/>
            </w:pPr>
            <w:r>
              <w:rPr>
                <w:sz w:val="18"/>
              </w:rPr>
              <w:t>0.11</w:t>
            </w:r>
          </w:p>
        </w:tc>
        <w:tc>
          <w:tcPr>
            <w:tcW w:w="1296" w:type="dxa"/>
            <w:tcMar>
              <w:top w:w="60" w:type="dxa"/>
              <w:left w:w="60" w:type="dxa"/>
              <w:bottom w:w="60" w:type="dxa"/>
              <w:right w:w="60" w:type="dxa"/>
            </w:tcMar>
            <w:vAlign w:val="center"/>
          </w:tcPr>
          <w:p w14:paraId="1B441B37" w14:textId="77777777" w:rsidR="00B76533" w:rsidRDefault="00000000">
            <w:pPr>
              <w:spacing w:after="20" w:line="252" w:lineRule="auto"/>
              <w:jc w:val="center"/>
            </w:pPr>
            <w:r>
              <w:rPr>
                <w:sz w:val="18"/>
              </w:rPr>
              <w:t>0.41</w:t>
            </w:r>
          </w:p>
        </w:tc>
        <w:tc>
          <w:tcPr>
            <w:tcW w:w="1440" w:type="dxa"/>
            <w:tcMar>
              <w:top w:w="60" w:type="dxa"/>
              <w:left w:w="60" w:type="dxa"/>
              <w:bottom w:w="60" w:type="dxa"/>
              <w:right w:w="60" w:type="dxa"/>
            </w:tcMar>
            <w:vAlign w:val="center"/>
          </w:tcPr>
          <w:p w14:paraId="1ED4BC30" w14:textId="77777777" w:rsidR="00B76533" w:rsidRDefault="00000000">
            <w:pPr>
              <w:spacing w:after="20" w:line="252" w:lineRule="auto"/>
              <w:jc w:val="center"/>
            </w:pPr>
            <w:r>
              <w:rPr>
                <w:sz w:val="18"/>
              </w:rPr>
              <w:t>0.96</w:t>
            </w:r>
          </w:p>
        </w:tc>
      </w:tr>
      <w:tr w:rsidR="00B76533" w14:paraId="01D932E7" w14:textId="77777777">
        <w:trPr>
          <w:cantSplit/>
          <w:jc w:val="center"/>
        </w:trPr>
        <w:tc>
          <w:tcPr>
            <w:tcW w:w="3384" w:type="dxa"/>
            <w:tcMar>
              <w:top w:w="60" w:type="dxa"/>
              <w:left w:w="60" w:type="dxa"/>
              <w:bottom w:w="60" w:type="dxa"/>
              <w:right w:w="60" w:type="dxa"/>
            </w:tcMar>
            <w:vAlign w:val="center"/>
          </w:tcPr>
          <w:p w14:paraId="6F9375F7" w14:textId="77777777" w:rsidR="00B76533" w:rsidRDefault="00000000">
            <w:pPr>
              <w:spacing w:after="20" w:line="252" w:lineRule="auto"/>
              <w:jc w:val="left"/>
            </w:pPr>
            <w:r>
              <w:rPr>
                <w:sz w:val="18"/>
              </w:rPr>
              <w:t>Área ponderada por humedad (ha)</w:t>
            </w:r>
          </w:p>
        </w:tc>
        <w:tc>
          <w:tcPr>
            <w:tcW w:w="504" w:type="dxa"/>
            <w:tcMar>
              <w:top w:w="60" w:type="dxa"/>
              <w:left w:w="60" w:type="dxa"/>
              <w:bottom w:w="60" w:type="dxa"/>
              <w:right w:w="60" w:type="dxa"/>
            </w:tcMar>
            <w:vAlign w:val="center"/>
          </w:tcPr>
          <w:p w14:paraId="07218A55"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2CC48D43" w14:textId="77777777" w:rsidR="00B76533" w:rsidRDefault="00000000">
            <w:pPr>
              <w:spacing w:after="20" w:line="252" w:lineRule="auto"/>
              <w:jc w:val="center"/>
            </w:pPr>
            <w:r>
              <w:rPr>
                <w:sz w:val="18"/>
              </w:rPr>
              <w:t>25.04</w:t>
            </w:r>
          </w:p>
        </w:tc>
        <w:tc>
          <w:tcPr>
            <w:tcW w:w="1224" w:type="dxa"/>
            <w:tcMar>
              <w:top w:w="60" w:type="dxa"/>
              <w:left w:w="60" w:type="dxa"/>
              <w:bottom w:w="60" w:type="dxa"/>
              <w:right w:w="60" w:type="dxa"/>
            </w:tcMar>
            <w:vAlign w:val="center"/>
          </w:tcPr>
          <w:p w14:paraId="0B6C0787" w14:textId="77777777" w:rsidR="00B76533" w:rsidRDefault="00000000">
            <w:pPr>
              <w:spacing w:after="20" w:line="252" w:lineRule="auto"/>
              <w:jc w:val="center"/>
            </w:pPr>
            <w:r>
              <w:rPr>
                <w:sz w:val="18"/>
              </w:rPr>
              <w:t>35.43</w:t>
            </w:r>
          </w:p>
        </w:tc>
        <w:tc>
          <w:tcPr>
            <w:tcW w:w="1296" w:type="dxa"/>
            <w:tcMar>
              <w:top w:w="60" w:type="dxa"/>
              <w:left w:w="60" w:type="dxa"/>
              <w:bottom w:w="60" w:type="dxa"/>
              <w:right w:w="60" w:type="dxa"/>
            </w:tcMar>
            <w:vAlign w:val="center"/>
          </w:tcPr>
          <w:p w14:paraId="4A6984C2" w14:textId="77777777" w:rsidR="00B76533" w:rsidRDefault="00000000">
            <w:pPr>
              <w:spacing w:after="20" w:line="252" w:lineRule="auto"/>
              <w:jc w:val="center"/>
            </w:pPr>
            <w:r>
              <w:rPr>
                <w:sz w:val="18"/>
              </w:rPr>
              <w:t>0.00</w:t>
            </w:r>
          </w:p>
        </w:tc>
        <w:tc>
          <w:tcPr>
            <w:tcW w:w="1440" w:type="dxa"/>
            <w:tcMar>
              <w:top w:w="60" w:type="dxa"/>
              <w:left w:w="60" w:type="dxa"/>
              <w:bottom w:w="60" w:type="dxa"/>
              <w:right w:w="60" w:type="dxa"/>
            </w:tcMar>
            <w:vAlign w:val="center"/>
          </w:tcPr>
          <w:p w14:paraId="4D16E197" w14:textId="77777777" w:rsidR="00B76533" w:rsidRDefault="00000000">
            <w:pPr>
              <w:spacing w:after="20" w:line="252" w:lineRule="auto"/>
              <w:jc w:val="center"/>
            </w:pPr>
            <w:r>
              <w:rPr>
                <w:sz w:val="18"/>
              </w:rPr>
              <w:t>149.68</w:t>
            </w:r>
          </w:p>
        </w:tc>
      </w:tr>
      <w:tr w:rsidR="00B76533" w14:paraId="29E05BB7" w14:textId="77777777">
        <w:trPr>
          <w:cantSplit/>
          <w:jc w:val="center"/>
        </w:trPr>
        <w:tc>
          <w:tcPr>
            <w:tcW w:w="3384" w:type="dxa"/>
            <w:tcMar>
              <w:top w:w="60" w:type="dxa"/>
              <w:left w:w="60" w:type="dxa"/>
              <w:bottom w:w="60" w:type="dxa"/>
              <w:right w:w="60" w:type="dxa"/>
            </w:tcMar>
            <w:vAlign w:val="center"/>
          </w:tcPr>
          <w:p w14:paraId="0482819E" w14:textId="77777777" w:rsidR="00B76533" w:rsidRDefault="00000000">
            <w:pPr>
              <w:spacing w:after="20" w:line="252" w:lineRule="auto"/>
              <w:jc w:val="left"/>
            </w:pPr>
            <w:r>
              <w:rPr>
                <w:sz w:val="18"/>
              </w:rPr>
              <w:t>Índice NBI (ha ponderadas)</w:t>
            </w:r>
          </w:p>
        </w:tc>
        <w:tc>
          <w:tcPr>
            <w:tcW w:w="504" w:type="dxa"/>
            <w:tcMar>
              <w:top w:w="60" w:type="dxa"/>
              <w:left w:w="60" w:type="dxa"/>
              <w:bottom w:w="60" w:type="dxa"/>
              <w:right w:w="60" w:type="dxa"/>
            </w:tcMar>
            <w:vAlign w:val="center"/>
          </w:tcPr>
          <w:p w14:paraId="1DB338A2"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7F906C18" w14:textId="77777777" w:rsidR="00B76533" w:rsidRDefault="00000000">
            <w:pPr>
              <w:spacing w:after="20" w:line="252" w:lineRule="auto"/>
              <w:jc w:val="center"/>
            </w:pPr>
            <w:r>
              <w:rPr>
                <w:sz w:val="18"/>
              </w:rPr>
              <w:t>2.64</w:t>
            </w:r>
          </w:p>
        </w:tc>
        <w:tc>
          <w:tcPr>
            <w:tcW w:w="1224" w:type="dxa"/>
            <w:tcMar>
              <w:top w:w="60" w:type="dxa"/>
              <w:left w:w="60" w:type="dxa"/>
              <w:bottom w:w="60" w:type="dxa"/>
              <w:right w:w="60" w:type="dxa"/>
            </w:tcMar>
            <w:vAlign w:val="center"/>
          </w:tcPr>
          <w:p w14:paraId="628FD7B1" w14:textId="77777777" w:rsidR="00B76533" w:rsidRDefault="00000000">
            <w:pPr>
              <w:spacing w:after="20" w:line="252" w:lineRule="auto"/>
              <w:jc w:val="center"/>
            </w:pPr>
            <w:r>
              <w:rPr>
                <w:sz w:val="18"/>
              </w:rPr>
              <w:t>4.06</w:t>
            </w:r>
          </w:p>
        </w:tc>
        <w:tc>
          <w:tcPr>
            <w:tcW w:w="1296" w:type="dxa"/>
            <w:tcMar>
              <w:top w:w="60" w:type="dxa"/>
              <w:left w:w="60" w:type="dxa"/>
              <w:bottom w:w="60" w:type="dxa"/>
              <w:right w:w="60" w:type="dxa"/>
            </w:tcMar>
            <w:vAlign w:val="center"/>
          </w:tcPr>
          <w:p w14:paraId="43528E9F" w14:textId="77777777" w:rsidR="00B76533" w:rsidRDefault="00000000">
            <w:pPr>
              <w:spacing w:after="20" w:line="252" w:lineRule="auto"/>
              <w:jc w:val="center"/>
            </w:pPr>
            <w:r>
              <w:rPr>
                <w:sz w:val="18"/>
              </w:rPr>
              <w:t>0.00</w:t>
            </w:r>
          </w:p>
        </w:tc>
        <w:tc>
          <w:tcPr>
            <w:tcW w:w="1440" w:type="dxa"/>
            <w:tcMar>
              <w:top w:w="60" w:type="dxa"/>
              <w:left w:w="60" w:type="dxa"/>
              <w:bottom w:w="60" w:type="dxa"/>
              <w:right w:w="60" w:type="dxa"/>
            </w:tcMar>
            <w:vAlign w:val="center"/>
          </w:tcPr>
          <w:p w14:paraId="51364420" w14:textId="77777777" w:rsidR="00B76533" w:rsidRDefault="00000000">
            <w:pPr>
              <w:spacing w:after="20" w:line="252" w:lineRule="auto"/>
              <w:jc w:val="center"/>
            </w:pPr>
            <w:r>
              <w:rPr>
                <w:sz w:val="18"/>
              </w:rPr>
              <w:t>18.87</w:t>
            </w:r>
          </w:p>
        </w:tc>
      </w:tr>
      <w:tr w:rsidR="00B76533" w14:paraId="1B4980DD" w14:textId="77777777">
        <w:trPr>
          <w:cantSplit/>
          <w:jc w:val="center"/>
        </w:trPr>
        <w:tc>
          <w:tcPr>
            <w:tcW w:w="3384" w:type="dxa"/>
            <w:tcMar>
              <w:top w:w="60" w:type="dxa"/>
              <w:left w:w="60" w:type="dxa"/>
              <w:bottom w:w="60" w:type="dxa"/>
              <w:right w:w="60" w:type="dxa"/>
            </w:tcMar>
            <w:vAlign w:val="center"/>
          </w:tcPr>
          <w:p w14:paraId="1F2B3806" w14:textId="77777777" w:rsidR="00B76533" w:rsidRDefault="00000000">
            <w:pPr>
              <w:spacing w:after="20" w:line="252" w:lineRule="auto"/>
              <w:jc w:val="left"/>
            </w:pPr>
            <w:r>
              <w:rPr>
                <w:sz w:val="18"/>
              </w:rPr>
              <w:t>Covariable recortada (%)</w:t>
            </w:r>
          </w:p>
        </w:tc>
        <w:tc>
          <w:tcPr>
            <w:tcW w:w="504" w:type="dxa"/>
            <w:tcMar>
              <w:top w:w="60" w:type="dxa"/>
              <w:left w:w="60" w:type="dxa"/>
              <w:bottom w:w="60" w:type="dxa"/>
              <w:right w:w="60" w:type="dxa"/>
            </w:tcMar>
            <w:vAlign w:val="center"/>
          </w:tcPr>
          <w:p w14:paraId="58110F07"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217A5902" w14:textId="77777777" w:rsidR="00B76533" w:rsidRDefault="00000000">
            <w:pPr>
              <w:spacing w:after="20" w:line="252" w:lineRule="auto"/>
              <w:jc w:val="center"/>
            </w:pPr>
            <w:r>
              <w:rPr>
                <w:sz w:val="18"/>
              </w:rPr>
              <w:t>13.97</w:t>
            </w:r>
          </w:p>
        </w:tc>
        <w:tc>
          <w:tcPr>
            <w:tcW w:w="1224" w:type="dxa"/>
            <w:tcMar>
              <w:top w:w="60" w:type="dxa"/>
              <w:left w:w="60" w:type="dxa"/>
              <w:bottom w:w="60" w:type="dxa"/>
              <w:right w:w="60" w:type="dxa"/>
            </w:tcMar>
            <w:vAlign w:val="center"/>
          </w:tcPr>
          <w:p w14:paraId="6DB576EB" w14:textId="77777777" w:rsidR="00B76533" w:rsidRDefault="00000000">
            <w:pPr>
              <w:spacing w:after="20" w:line="252" w:lineRule="auto"/>
              <w:jc w:val="center"/>
            </w:pPr>
            <w:r>
              <w:rPr>
                <w:sz w:val="18"/>
              </w:rPr>
              <w:t>16.14</w:t>
            </w:r>
          </w:p>
        </w:tc>
        <w:tc>
          <w:tcPr>
            <w:tcW w:w="1296" w:type="dxa"/>
            <w:tcMar>
              <w:top w:w="60" w:type="dxa"/>
              <w:left w:w="60" w:type="dxa"/>
              <w:bottom w:w="60" w:type="dxa"/>
              <w:right w:w="60" w:type="dxa"/>
            </w:tcMar>
            <w:vAlign w:val="center"/>
          </w:tcPr>
          <w:p w14:paraId="65A0035D" w14:textId="77777777" w:rsidR="00B76533" w:rsidRDefault="00000000">
            <w:pPr>
              <w:spacing w:after="20" w:line="252" w:lineRule="auto"/>
              <w:jc w:val="center"/>
            </w:pPr>
            <w:r>
              <w:rPr>
                <w:sz w:val="18"/>
              </w:rPr>
              <w:t>0.00</w:t>
            </w:r>
          </w:p>
        </w:tc>
        <w:tc>
          <w:tcPr>
            <w:tcW w:w="1440" w:type="dxa"/>
            <w:tcMar>
              <w:top w:w="60" w:type="dxa"/>
              <w:left w:w="60" w:type="dxa"/>
              <w:bottom w:w="60" w:type="dxa"/>
              <w:right w:w="60" w:type="dxa"/>
            </w:tcMar>
            <w:vAlign w:val="center"/>
          </w:tcPr>
          <w:p w14:paraId="46ADF980" w14:textId="77777777" w:rsidR="00B76533" w:rsidRDefault="00000000">
            <w:pPr>
              <w:spacing w:after="20" w:line="252" w:lineRule="auto"/>
              <w:jc w:val="center"/>
            </w:pPr>
            <w:r>
              <w:rPr>
                <w:sz w:val="18"/>
              </w:rPr>
              <w:t>66.44</w:t>
            </w:r>
          </w:p>
        </w:tc>
      </w:tr>
      <w:tr w:rsidR="00B76533" w14:paraId="2A525E22" w14:textId="77777777">
        <w:trPr>
          <w:cantSplit/>
          <w:jc w:val="center"/>
        </w:trPr>
        <w:tc>
          <w:tcPr>
            <w:tcW w:w="3384" w:type="dxa"/>
            <w:tcMar>
              <w:top w:w="60" w:type="dxa"/>
              <w:left w:w="60" w:type="dxa"/>
              <w:bottom w:w="60" w:type="dxa"/>
              <w:right w:w="60" w:type="dxa"/>
            </w:tcMar>
            <w:vAlign w:val="center"/>
          </w:tcPr>
          <w:p w14:paraId="6DE15E32" w14:textId="77777777" w:rsidR="00B76533" w:rsidRDefault="00000000">
            <w:pPr>
              <w:spacing w:after="20" w:line="252" w:lineRule="auto"/>
              <w:jc w:val="left"/>
            </w:pPr>
            <w:r>
              <w:rPr>
                <w:sz w:val="18"/>
              </w:rPr>
              <w:t>Influencia de borde (%)</w:t>
            </w:r>
          </w:p>
        </w:tc>
        <w:tc>
          <w:tcPr>
            <w:tcW w:w="504" w:type="dxa"/>
            <w:tcMar>
              <w:top w:w="60" w:type="dxa"/>
              <w:left w:w="60" w:type="dxa"/>
              <w:bottom w:w="60" w:type="dxa"/>
              <w:right w:w="60" w:type="dxa"/>
            </w:tcMar>
            <w:vAlign w:val="center"/>
          </w:tcPr>
          <w:p w14:paraId="79E7A20A"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46405FD4" w14:textId="77777777" w:rsidR="00B76533" w:rsidRDefault="00000000">
            <w:pPr>
              <w:spacing w:after="20" w:line="252" w:lineRule="auto"/>
              <w:jc w:val="center"/>
            </w:pPr>
            <w:r>
              <w:rPr>
                <w:sz w:val="18"/>
              </w:rPr>
              <w:t>0.01</w:t>
            </w:r>
          </w:p>
        </w:tc>
        <w:tc>
          <w:tcPr>
            <w:tcW w:w="1224" w:type="dxa"/>
            <w:tcMar>
              <w:top w:w="60" w:type="dxa"/>
              <w:left w:w="60" w:type="dxa"/>
              <w:bottom w:w="60" w:type="dxa"/>
              <w:right w:w="60" w:type="dxa"/>
            </w:tcMar>
            <w:vAlign w:val="center"/>
          </w:tcPr>
          <w:p w14:paraId="2EA92E25" w14:textId="77777777" w:rsidR="00B76533" w:rsidRDefault="00000000">
            <w:pPr>
              <w:spacing w:after="20" w:line="252" w:lineRule="auto"/>
              <w:jc w:val="center"/>
            </w:pPr>
            <w:r>
              <w:rPr>
                <w:sz w:val="18"/>
              </w:rPr>
              <w:t>0.02</w:t>
            </w:r>
          </w:p>
        </w:tc>
        <w:tc>
          <w:tcPr>
            <w:tcW w:w="1296" w:type="dxa"/>
            <w:tcMar>
              <w:top w:w="60" w:type="dxa"/>
              <w:left w:w="60" w:type="dxa"/>
              <w:bottom w:w="60" w:type="dxa"/>
              <w:right w:w="60" w:type="dxa"/>
            </w:tcMar>
            <w:vAlign w:val="center"/>
          </w:tcPr>
          <w:p w14:paraId="2B5C0B06" w14:textId="77777777" w:rsidR="00B76533" w:rsidRDefault="00000000">
            <w:pPr>
              <w:spacing w:after="20" w:line="252" w:lineRule="auto"/>
              <w:jc w:val="center"/>
            </w:pPr>
            <w:r>
              <w:rPr>
                <w:sz w:val="18"/>
              </w:rPr>
              <w:t>0.00</w:t>
            </w:r>
          </w:p>
        </w:tc>
        <w:tc>
          <w:tcPr>
            <w:tcW w:w="1440" w:type="dxa"/>
            <w:tcMar>
              <w:top w:w="60" w:type="dxa"/>
              <w:left w:w="60" w:type="dxa"/>
              <w:bottom w:w="60" w:type="dxa"/>
              <w:right w:w="60" w:type="dxa"/>
            </w:tcMar>
            <w:vAlign w:val="center"/>
          </w:tcPr>
          <w:p w14:paraId="051FA6E5" w14:textId="77777777" w:rsidR="00B76533" w:rsidRDefault="00000000">
            <w:pPr>
              <w:spacing w:after="20" w:line="252" w:lineRule="auto"/>
              <w:jc w:val="center"/>
            </w:pPr>
            <w:r>
              <w:rPr>
                <w:sz w:val="18"/>
              </w:rPr>
              <w:t>0.15</w:t>
            </w:r>
          </w:p>
        </w:tc>
      </w:tr>
      <w:tr w:rsidR="00B76533" w14:paraId="4F14F38A" w14:textId="77777777">
        <w:trPr>
          <w:cantSplit/>
          <w:jc w:val="center"/>
        </w:trPr>
        <w:tc>
          <w:tcPr>
            <w:tcW w:w="3384" w:type="dxa"/>
            <w:tcMar>
              <w:top w:w="60" w:type="dxa"/>
              <w:left w:w="60" w:type="dxa"/>
              <w:bottom w:w="60" w:type="dxa"/>
              <w:right w:w="60" w:type="dxa"/>
            </w:tcMar>
            <w:vAlign w:val="center"/>
          </w:tcPr>
          <w:p w14:paraId="34F20802" w14:textId="77777777" w:rsidR="00B76533" w:rsidRDefault="00000000">
            <w:pPr>
              <w:spacing w:after="20" w:line="252" w:lineRule="auto"/>
              <w:jc w:val="left"/>
            </w:pPr>
            <w:r>
              <w:rPr>
                <w:sz w:val="18"/>
              </w:rPr>
              <w:t>Construido excluido (ha)</w:t>
            </w:r>
          </w:p>
        </w:tc>
        <w:tc>
          <w:tcPr>
            <w:tcW w:w="504" w:type="dxa"/>
            <w:tcMar>
              <w:top w:w="60" w:type="dxa"/>
              <w:left w:w="60" w:type="dxa"/>
              <w:bottom w:w="60" w:type="dxa"/>
              <w:right w:w="60" w:type="dxa"/>
            </w:tcMar>
            <w:vAlign w:val="center"/>
          </w:tcPr>
          <w:p w14:paraId="4429FD68" w14:textId="77777777" w:rsidR="00B76533" w:rsidRDefault="00000000">
            <w:pPr>
              <w:spacing w:after="20" w:line="252" w:lineRule="auto"/>
              <w:jc w:val="left"/>
            </w:pPr>
            <w:r>
              <w:rPr>
                <w:sz w:val="18"/>
              </w:rPr>
              <w:t>65</w:t>
            </w:r>
          </w:p>
        </w:tc>
        <w:tc>
          <w:tcPr>
            <w:tcW w:w="1224" w:type="dxa"/>
            <w:tcMar>
              <w:top w:w="60" w:type="dxa"/>
              <w:left w:w="60" w:type="dxa"/>
              <w:bottom w:w="60" w:type="dxa"/>
              <w:right w:w="60" w:type="dxa"/>
            </w:tcMar>
            <w:vAlign w:val="center"/>
          </w:tcPr>
          <w:p w14:paraId="19EB5FF7" w14:textId="77777777" w:rsidR="00B76533" w:rsidRDefault="00000000">
            <w:pPr>
              <w:spacing w:after="20" w:line="252" w:lineRule="auto"/>
              <w:jc w:val="center"/>
            </w:pPr>
            <w:r>
              <w:rPr>
                <w:sz w:val="18"/>
              </w:rPr>
              <w:t>4.43</w:t>
            </w:r>
          </w:p>
        </w:tc>
        <w:tc>
          <w:tcPr>
            <w:tcW w:w="1224" w:type="dxa"/>
            <w:tcMar>
              <w:top w:w="60" w:type="dxa"/>
              <w:left w:w="60" w:type="dxa"/>
              <w:bottom w:w="60" w:type="dxa"/>
              <w:right w:w="60" w:type="dxa"/>
            </w:tcMar>
            <w:vAlign w:val="center"/>
          </w:tcPr>
          <w:p w14:paraId="75CD50C2" w14:textId="77777777" w:rsidR="00B76533" w:rsidRDefault="00000000">
            <w:pPr>
              <w:spacing w:after="20" w:line="252" w:lineRule="auto"/>
              <w:jc w:val="center"/>
            </w:pPr>
            <w:r>
              <w:rPr>
                <w:sz w:val="18"/>
              </w:rPr>
              <w:t>11.70</w:t>
            </w:r>
          </w:p>
        </w:tc>
        <w:tc>
          <w:tcPr>
            <w:tcW w:w="1296" w:type="dxa"/>
            <w:tcMar>
              <w:top w:w="60" w:type="dxa"/>
              <w:left w:w="60" w:type="dxa"/>
              <w:bottom w:w="60" w:type="dxa"/>
              <w:right w:w="60" w:type="dxa"/>
            </w:tcMar>
            <w:vAlign w:val="center"/>
          </w:tcPr>
          <w:p w14:paraId="60A00DFF" w14:textId="77777777" w:rsidR="00B76533" w:rsidRDefault="00000000">
            <w:pPr>
              <w:spacing w:after="20" w:line="252" w:lineRule="auto"/>
              <w:jc w:val="center"/>
            </w:pPr>
            <w:r>
              <w:rPr>
                <w:sz w:val="18"/>
              </w:rPr>
              <w:t>0.00</w:t>
            </w:r>
          </w:p>
        </w:tc>
        <w:tc>
          <w:tcPr>
            <w:tcW w:w="1440" w:type="dxa"/>
            <w:tcMar>
              <w:top w:w="60" w:type="dxa"/>
              <w:left w:w="60" w:type="dxa"/>
              <w:bottom w:w="60" w:type="dxa"/>
              <w:right w:w="60" w:type="dxa"/>
            </w:tcMar>
            <w:vAlign w:val="center"/>
          </w:tcPr>
          <w:p w14:paraId="7745E2A6" w14:textId="77777777" w:rsidR="00B76533" w:rsidRDefault="00000000">
            <w:pPr>
              <w:spacing w:after="20" w:line="252" w:lineRule="auto"/>
              <w:jc w:val="center"/>
            </w:pPr>
            <w:r>
              <w:rPr>
                <w:sz w:val="18"/>
              </w:rPr>
              <w:t>85.80</w:t>
            </w:r>
          </w:p>
        </w:tc>
      </w:tr>
      <w:tr w:rsidR="00B76533" w14:paraId="1E47E62B" w14:textId="77777777">
        <w:trPr>
          <w:cantSplit/>
          <w:jc w:val="center"/>
        </w:trPr>
        <w:tc>
          <w:tcPr>
            <w:tcW w:w="3384" w:type="dxa"/>
            <w:tcMar>
              <w:top w:w="60" w:type="dxa"/>
              <w:left w:w="60" w:type="dxa"/>
              <w:bottom w:w="60" w:type="dxa"/>
              <w:right w:w="60" w:type="dxa"/>
            </w:tcMar>
            <w:vAlign w:val="center"/>
          </w:tcPr>
          <w:p w14:paraId="71CFCAEC" w14:textId="77777777" w:rsidR="00B76533" w:rsidRDefault="00000000">
            <w:pPr>
              <w:keepNext/>
              <w:spacing w:after="20" w:line="252" w:lineRule="auto"/>
              <w:jc w:val="left"/>
            </w:pPr>
            <w:r>
              <w:rPr>
                <w:sz w:val="18"/>
              </w:rPr>
              <w:t>Cobertura de construido (%)</w:t>
            </w:r>
          </w:p>
        </w:tc>
        <w:tc>
          <w:tcPr>
            <w:tcW w:w="504" w:type="dxa"/>
            <w:tcMar>
              <w:top w:w="60" w:type="dxa"/>
              <w:left w:w="60" w:type="dxa"/>
              <w:bottom w:w="60" w:type="dxa"/>
              <w:right w:w="60" w:type="dxa"/>
            </w:tcMar>
            <w:vAlign w:val="center"/>
          </w:tcPr>
          <w:p w14:paraId="4BA8BF1D" w14:textId="77777777" w:rsidR="00B76533" w:rsidRDefault="00000000">
            <w:pPr>
              <w:keepNext/>
              <w:spacing w:after="20" w:line="252" w:lineRule="auto"/>
              <w:jc w:val="left"/>
            </w:pPr>
            <w:r>
              <w:rPr>
                <w:sz w:val="18"/>
              </w:rPr>
              <w:t>65</w:t>
            </w:r>
          </w:p>
        </w:tc>
        <w:tc>
          <w:tcPr>
            <w:tcW w:w="1224" w:type="dxa"/>
            <w:tcMar>
              <w:top w:w="60" w:type="dxa"/>
              <w:left w:w="60" w:type="dxa"/>
              <w:bottom w:w="60" w:type="dxa"/>
              <w:right w:w="60" w:type="dxa"/>
            </w:tcMar>
            <w:vAlign w:val="center"/>
          </w:tcPr>
          <w:p w14:paraId="23B88D49" w14:textId="77777777" w:rsidR="00B76533" w:rsidRDefault="00000000">
            <w:pPr>
              <w:keepNext/>
              <w:spacing w:after="20" w:line="252" w:lineRule="auto"/>
              <w:jc w:val="center"/>
            </w:pPr>
            <w:r>
              <w:rPr>
                <w:sz w:val="18"/>
              </w:rPr>
              <w:t>99.00</w:t>
            </w:r>
          </w:p>
        </w:tc>
        <w:tc>
          <w:tcPr>
            <w:tcW w:w="1224" w:type="dxa"/>
            <w:tcMar>
              <w:top w:w="60" w:type="dxa"/>
              <w:left w:w="60" w:type="dxa"/>
              <w:bottom w:w="60" w:type="dxa"/>
              <w:right w:w="60" w:type="dxa"/>
            </w:tcMar>
            <w:vAlign w:val="center"/>
          </w:tcPr>
          <w:p w14:paraId="7A10E383" w14:textId="77777777" w:rsidR="00B76533" w:rsidRDefault="00000000">
            <w:pPr>
              <w:keepNext/>
              <w:spacing w:after="20" w:line="252" w:lineRule="auto"/>
              <w:jc w:val="center"/>
            </w:pPr>
            <w:r>
              <w:rPr>
                <w:sz w:val="18"/>
              </w:rPr>
              <w:t>2.34</w:t>
            </w:r>
          </w:p>
        </w:tc>
        <w:tc>
          <w:tcPr>
            <w:tcW w:w="1296" w:type="dxa"/>
            <w:tcMar>
              <w:top w:w="60" w:type="dxa"/>
              <w:left w:w="60" w:type="dxa"/>
              <w:bottom w:w="60" w:type="dxa"/>
              <w:right w:w="60" w:type="dxa"/>
            </w:tcMar>
            <w:vAlign w:val="center"/>
          </w:tcPr>
          <w:p w14:paraId="74F5090E" w14:textId="77777777" w:rsidR="00B76533" w:rsidRDefault="00000000">
            <w:pPr>
              <w:keepNext/>
              <w:spacing w:after="20" w:line="252" w:lineRule="auto"/>
              <w:jc w:val="center"/>
            </w:pPr>
            <w:r>
              <w:rPr>
                <w:sz w:val="18"/>
              </w:rPr>
              <w:t>82.32</w:t>
            </w:r>
          </w:p>
        </w:tc>
        <w:tc>
          <w:tcPr>
            <w:tcW w:w="1440" w:type="dxa"/>
            <w:tcMar>
              <w:top w:w="60" w:type="dxa"/>
              <w:left w:w="60" w:type="dxa"/>
              <w:bottom w:w="60" w:type="dxa"/>
              <w:right w:w="60" w:type="dxa"/>
            </w:tcMar>
            <w:vAlign w:val="center"/>
          </w:tcPr>
          <w:p w14:paraId="776950A6" w14:textId="77777777" w:rsidR="00B76533" w:rsidRDefault="00000000">
            <w:pPr>
              <w:keepNext/>
              <w:spacing w:after="20" w:line="252" w:lineRule="auto"/>
              <w:jc w:val="center"/>
            </w:pPr>
            <w:r>
              <w:rPr>
                <w:sz w:val="18"/>
              </w:rPr>
              <w:t>100.00</w:t>
            </w:r>
          </w:p>
        </w:tc>
      </w:tr>
    </w:tbl>
    <w:p w14:paraId="4755CED2" w14:textId="77777777" w:rsidR="00B76533" w:rsidRDefault="00000000">
      <w:pPr>
        <w:spacing w:before="100"/>
      </w:pPr>
      <w:r>
        <w:rPr>
          <w:sz w:val="18"/>
        </w:rPr>
        <w:t>Fuente: WorldCover 2021, cartografía municipal Censo 2022, aplicación territorial y pronóstico estacional. Elaboración propia. DE: desviación estándar muestral. Cada parroquia pesa igual; no son medias de personas u hogares. Los índices corresponden al escenario red residual con modelo estacional ENSO. Denominadores completos en summarize_parroquias.csv.</w:t>
      </w:r>
    </w:p>
    <w:p w14:paraId="41EC27E7" w14:textId="77777777" w:rsidR="00B76533" w:rsidRDefault="00000000">
      <w:pPr>
        <w:keepNext/>
      </w:pPr>
      <w:r>
        <w:rPr>
          <w:sz w:val="20"/>
        </w:rPr>
        <w:lastRenderedPageBreak/>
        <w:t>Figura 2. Privación social por parroquia</w:t>
      </w:r>
    </w:p>
    <w:p w14:paraId="1BC3AC0D" w14:textId="77777777" w:rsidR="00B76533" w:rsidRDefault="00000000">
      <w:pPr>
        <w:keepNext/>
      </w:pPr>
      <w:r>
        <w:rPr>
          <w:noProof/>
        </w:rPr>
        <w:drawing>
          <wp:inline distT="0" distB="0" distL="0" distR="0" wp14:anchorId="6DB6B4CF" wp14:editId="15436CB4">
            <wp:extent cx="5760720" cy="5519092"/>
            <wp:effectExtent l="0" t="0" r="0" b="0"/>
            <wp:docPr id="2" name="Picture 2" descr="Figura 2. Privación social por parroquia. Fuente: capa municipal basada en Censo 2022 INEC. Elaboración propia. Porcentajes con denominadores propios, no sumables. Escalas de color distintas entre paneles; los polígonos mantienen soporte parroqu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4_privacion_social.png"/>
                    <pic:cNvPicPr/>
                  </pic:nvPicPr>
                  <pic:blipFill>
                    <a:blip r:embed="rId9"/>
                    <a:stretch>
                      <a:fillRect/>
                    </a:stretch>
                  </pic:blipFill>
                  <pic:spPr>
                    <a:xfrm>
                      <a:off x="0" y="0"/>
                      <a:ext cx="5760720" cy="5519092"/>
                    </a:xfrm>
                    <a:prstGeom prst="rect">
                      <a:avLst/>
                    </a:prstGeom>
                  </pic:spPr>
                </pic:pic>
              </a:graphicData>
            </a:graphic>
          </wp:inline>
        </w:drawing>
      </w:r>
    </w:p>
    <w:p w14:paraId="3CAC2E1D" w14:textId="77777777" w:rsidR="00B76533" w:rsidRDefault="00000000">
      <w:r>
        <w:rPr>
          <w:sz w:val="18"/>
        </w:rPr>
        <w:t>Fuente: microdatos del Censo 2022 INEC y capa municipal de sectores censales; saneamiento, agua y hacinamiento reponderados en los sectores divididos. Elaboración propia. Porcentajes con denominadores propios, no sumables. Escalas de color distintas entre paneles; los polígonos mantienen soporte parroquial.</w:t>
      </w:r>
    </w:p>
    <w:p w14:paraId="3471DBA3" w14:textId="77777777" w:rsidR="00B76533" w:rsidRDefault="00000000">
      <w:pPr>
        <w:pStyle w:val="Ttulo2"/>
      </w:pPr>
      <w:r>
        <w:t>2.5 Regla de priorización</w:t>
      </w:r>
    </w:p>
    <w:p w14:paraId="0F03D289" w14:textId="77777777" w:rsidR="00B76533" w:rsidRDefault="00000000">
      <w:r>
        <w:t>Sea S el área en hectáreas del decil superior de susceptibilidad del construido en la parroquia p y la celda meteorológica j, P la probabilidad del estado húmedo y n la proporción parroquial de hogares con NBI. Definimos</w:t>
      </w:r>
    </w:p>
    <w:tbl>
      <w:tblPr>
        <w:tblW w:w="9072" w:type="dxa"/>
        <w:tblLayout w:type="fixed"/>
        <w:tblLook w:val="04A0" w:firstRow="1" w:lastRow="0" w:firstColumn="1" w:lastColumn="0" w:noHBand="0" w:noVBand="1"/>
      </w:tblPr>
      <w:tblGrid>
        <w:gridCol w:w="8172"/>
        <w:gridCol w:w="900"/>
      </w:tblGrid>
      <w:tr w:rsidR="00FD442D" w14:paraId="1B02A059" w14:textId="77777777">
        <w:tc>
          <w:tcPr>
            <w:tcW w:w="8172" w:type="dxa"/>
            <w:vAlign w:val="center"/>
          </w:tcPr>
          <w:p w14:paraId="20B08ED7" w14:textId="77777777" w:rsidR="00B76533" w:rsidRDefault="00000000">
            <w:pPr>
              <w:jc w:val="center"/>
            </w:pPr>
            <m:oMathPara>
              <m:oMath>
                <m:sSub>
                  <m:sSubPr>
                    <m:ctrlPr>
                      <w:rPr>
                        <w:rFonts w:ascii="Cambria Math" w:hAnsi="Cambria Math"/>
                      </w:rPr>
                    </m:ctrlPr>
                  </m:sSubPr>
                  <m:e>
                    <m:r>
                      <w:rPr>
                        <w:rFonts w:ascii="Cambria Math" w:hAnsi="Cambria Math"/>
                      </w:rPr>
                      <m:t>H</m:t>
                    </m:r>
                  </m:e>
                  <m:sub>
                    <m:r>
                      <w:rPr>
                        <w:rFonts w:ascii="Cambria Math" w:hAnsi="Cambria Math"/>
                      </w:rPr>
                      <m:t>p</m:t>
                    </m:r>
                  </m:sub>
                </m:sSub>
                <m:r>
                  <w:rPr>
                    <w:rFonts w:ascii="Cambria Math" w:hAnsi="Cambria Math"/>
                  </w:rPr>
                  <m:t xml:space="preserve"> = Σ</m:t>
                </m:r>
                <m:sSub>
                  <m:sSubPr>
                    <m:ctrlPr>
                      <w:rPr>
                        <w:rFonts w:ascii="Cambria Math" w:hAnsi="Cambria Math"/>
                      </w:rPr>
                    </m:ctrlPr>
                  </m:sSubPr>
                  <m:e>
                    <m:r>
                      <w:rPr>
                        <w:rFonts w:ascii="Cambria Math" w:hAnsi="Cambria Math"/>
                      </w:rPr>
                      <m:t>S</m:t>
                    </m:r>
                  </m:e>
                  <m:sub>
                    <m:r>
                      <w:rPr>
                        <w:rFonts w:ascii="Cambria Math" w:hAnsi="Cambria Math"/>
                      </w:rPr>
                      <m:t>pj</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 xml:space="preserve">(húmedo),    </m:t>
                </m:r>
                <m:sSub>
                  <m:sSubPr>
                    <m:ctrlPr>
                      <w:rPr>
                        <w:rFonts w:ascii="Cambria Math" w:hAnsi="Cambria Math"/>
                      </w:rPr>
                    </m:ctrlPr>
                  </m:sSubPr>
                  <m:e>
                    <m:r>
                      <w:rPr>
                        <w:rFonts w:ascii="Cambria Math" w:hAnsi="Cambria Math"/>
                      </w:rPr>
                      <m:t>I</m:t>
                    </m:r>
                  </m:e>
                  <m:sub>
                    <m:r>
                      <w:rPr>
                        <w:rFonts w:ascii="Cambria Math" w:hAnsi="Cambria Math"/>
                      </w:rPr>
                      <m:t>p,NBI</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p</m:t>
                    </m:r>
                  </m:sub>
                </m:sSub>
                <m:r>
                  <w:rPr>
                    <w:rFonts w:ascii="Cambria Math" w:hAnsi="Cambria Math"/>
                  </w:rPr>
                  <m:t xml:space="preserve"> </m:t>
                </m:r>
                <m:sSub>
                  <m:sSubPr>
                    <m:ctrlPr>
                      <w:rPr>
                        <w:rFonts w:ascii="Cambria Math" w:hAnsi="Cambria Math"/>
                      </w:rPr>
                    </m:ctrlPr>
                  </m:sSubPr>
                  <m:e>
                    <m:r>
                      <w:rPr>
                        <w:rFonts w:ascii="Cambria Math" w:hAnsi="Cambria Math"/>
                      </w:rPr>
                      <m:t>n</m:t>
                    </m:r>
                  </m:e>
                  <m:sub>
                    <m:r>
                      <w:rPr>
                        <w:rFonts w:ascii="Cambria Math" w:hAnsi="Cambria Math"/>
                      </w:rPr>
                      <m:t>p</m:t>
                    </m:r>
                  </m:sub>
                </m:sSub>
              </m:oMath>
            </m:oMathPara>
          </w:p>
        </w:tc>
        <w:tc>
          <w:tcPr>
            <w:tcW w:w="900" w:type="dxa"/>
            <w:vAlign w:val="center"/>
          </w:tcPr>
          <w:p w14:paraId="30648302" w14:textId="77777777" w:rsidR="00FD442D" w:rsidRDefault="00000000">
            <w:pPr>
              <w:jc w:val="right"/>
            </w:pPr>
            <w:r>
              <w:t>(5)</w:t>
            </w:r>
          </w:p>
        </w:tc>
      </w:tr>
    </w:tbl>
    <w:p w14:paraId="4ECE27C9" w14:textId="77777777" w:rsidR="00B76533" w:rsidRDefault="00000000">
      <w:r>
        <w:t>H expresa hectáreas susceptibles ponderadas por probabilidad húmeda e I incorpora la privación y conserva la unidad de hectáreas ponderadas. Para los objetivos de saneamiento, agua, hacinamiento y NBI extremo se sustituye n por la tasa correspondiente. Las tasas no intervienen en el entrenamiento territorial, de modo que el índice separa localización susceptible y criterio distributivo.</w:t>
      </w:r>
    </w:p>
    <w:p w14:paraId="55D91F5D" w14:textId="77777777" w:rsidR="00B76533" w:rsidRDefault="00000000">
      <w:r>
        <w:lastRenderedPageBreak/>
        <w:t>Seleccionamos las 13 primeras parroquias de cada ordenamiento como presupuesto ilustrativo. Medimos el acuerdo entre la selección por H (A) y la selección por I (B) con el índice de Jaccard (Jaccard, 1912),</w:t>
      </w:r>
    </w:p>
    <w:tbl>
      <w:tblPr>
        <w:tblW w:w="9072" w:type="dxa"/>
        <w:tblLayout w:type="fixed"/>
        <w:tblLook w:val="04A0" w:firstRow="1" w:lastRow="0" w:firstColumn="1" w:lastColumn="0" w:noHBand="0" w:noVBand="1"/>
      </w:tblPr>
      <w:tblGrid>
        <w:gridCol w:w="8172"/>
        <w:gridCol w:w="900"/>
      </w:tblGrid>
      <w:tr w:rsidR="00FD442D" w14:paraId="3FE002BB" w14:textId="77777777">
        <w:tc>
          <w:tcPr>
            <w:tcW w:w="8172" w:type="dxa"/>
            <w:vAlign w:val="center"/>
          </w:tcPr>
          <w:p w14:paraId="0595085B" w14:textId="77777777" w:rsidR="00FD442D" w:rsidRDefault="00000000">
            <w:pPr>
              <w:jc w:val="center"/>
            </w:pPr>
            <m:oMathPara>
              <m:oMath>
                <m:r>
                  <w:rPr>
                    <w:rFonts w:ascii="Cambria Math" w:hAnsi="Cambria Math"/>
                  </w:rPr>
                  <m:t xml:space="preserve">J(A,B) = </m:t>
                </m:r>
                <m:f>
                  <m:fPr>
                    <m:ctrlPr>
                      <w:rPr>
                        <w:rFonts w:ascii="Cambria Math" w:hAnsi="Cambria Math"/>
                      </w:rPr>
                    </m:ctrlPr>
                  </m:fPr>
                  <m:num>
                    <m:r>
                      <w:rPr>
                        <w:rFonts w:ascii="Cambria Math" w:hAnsi="Cambria Math"/>
                      </w:rPr>
                      <m:t>|A ∩ B|</m:t>
                    </m:r>
                  </m:num>
                  <m:den>
                    <m:r>
                      <w:rPr>
                        <w:rFonts w:ascii="Cambria Math" w:hAnsi="Cambria Math"/>
                      </w:rPr>
                      <m:t>|A ∪ B|</m:t>
                    </m:r>
                  </m:den>
                </m:f>
              </m:oMath>
            </m:oMathPara>
          </w:p>
        </w:tc>
        <w:tc>
          <w:tcPr>
            <w:tcW w:w="900" w:type="dxa"/>
            <w:vAlign w:val="center"/>
          </w:tcPr>
          <w:p w14:paraId="416E4F2B" w14:textId="77777777" w:rsidR="00FD442D" w:rsidRDefault="00000000">
            <w:pPr>
              <w:jc w:val="right"/>
            </w:pPr>
            <w:r>
              <w:t>(6)</w:t>
            </w:r>
          </w:p>
        </w:tc>
      </w:tr>
    </w:tbl>
    <w:p w14:paraId="0FD59F2C" w14:textId="77777777" w:rsidR="00B76533" w:rsidRDefault="00000000">
      <w:r>
        <w:t>y comparamos el índice social y el área ponderada que cubre cada selección. Un presupuesto real requeriría costos, población localizada y capacidad de ejecución; aquí sirve para hacer explícito el intercambio entre extensión y privación.</w:t>
      </w:r>
    </w:p>
    <w:p w14:paraId="1148094B" w14:textId="77777777" w:rsidR="00B76533" w:rsidRDefault="00000000">
      <w:pPr>
        <w:pStyle w:val="Ttulo2"/>
      </w:pPr>
      <w:r>
        <w:t>2.6 Robustez y validación</w:t>
      </w:r>
    </w:p>
    <w:p w14:paraId="13993F77" w14:textId="77777777" w:rsidR="00B76533" w:rsidRDefault="00000000">
      <w:r>
        <w:t>Evaluamos la estabilidad de la selección frente a seis fuentes de variación: (i) el modelo territorial (ancla y ancla con red) y el modelo de lluvia (tres alternativas), que dan seis combinaciones; (ii) el percentil que define el área prioritaria (80, 90 y 95); (iii) el presupuesto (5, 10, 13 y 20 parroquias); (iv) la unidad del NBI (hogares y personas), con la correlación de rangos de Spearman (1904); (v) la escala del NBI, ponderando por la tasa del sector censal en lugar de la parroquial; y (vi) la muestra de reportes. Para (vi) remuestreamos con reemplazo los bloques de 5 km de los 143 reportes de entrenamiento (Efron, 1979; Künsch, 1989), reajustamos el ancla con la penalización y el temperado publicados y repetimos la priorización. Con T el conjunto de las 13 parroquias con mayor índice en la réplica b, la probabilidad de pertenencia de la parroquia p es</w:t>
      </w:r>
    </w:p>
    <w:tbl>
      <w:tblPr>
        <w:tblW w:w="9072" w:type="dxa"/>
        <w:tblLayout w:type="fixed"/>
        <w:tblLook w:val="04A0" w:firstRow="1" w:lastRow="0" w:firstColumn="1" w:lastColumn="0" w:noHBand="0" w:noVBand="1"/>
      </w:tblPr>
      <w:tblGrid>
        <w:gridCol w:w="8172"/>
        <w:gridCol w:w="900"/>
      </w:tblGrid>
      <w:tr w:rsidR="00FD442D" w14:paraId="0A5F8AA7" w14:textId="77777777">
        <w:tc>
          <w:tcPr>
            <w:tcW w:w="8172" w:type="dxa"/>
            <w:vAlign w:val="center"/>
          </w:tcPr>
          <w:p w14:paraId="79247B10" w14:textId="77777777" w:rsidR="00FD442D" w:rsidRDefault="00000000">
            <w:pPr>
              <w:jc w:val="center"/>
            </w:pPr>
            <m:oMathPara>
              <m:oMath>
                <m:sSub>
                  <m:sSubPr>
                    <m:ctrlPr>
                      <w:rPr>
                        <w:rFonts w:ascii="Cambria Math" w:hAnsi="Cambria Math"/>
                      </w:rPr>
                    </m:ctrlPr>
                  </m:sSubPr>
                  <m:e>
                    <m:r>
                      <w:rPr>
                        <w:rFonts w:ascii="Cambria Math" w:hAnsi="Cambria Math"/>
                      </w:rPr>
                      <m:t>P</m:t>
                    </m:r>
                  </m:e>
                  <m:sub>
                    <m:r>
                      <w:rPr>
                        <w:rFonts w:ascii="Cambria Math" w:hAnsi="Cambria Math"/>
                      </w:rPr>
                      <m:t>p</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subSup"/>
                    <m:ctrlPr>
                      <w:rPr>
                        <w:rFonts w:ascii="Cambria Math" w:hAnsi="Cambria Math"/>
                      </w:rPr>
                    </m:ctrlPr>
                  </m:naryPr>
                  <m:sub>
                    <m:r>
                      <w:rPr>
                        <w:rFonts w:ascii="Cambria Math" w:hAnsi="Cambria Math"/>
                      </w:rPr>
                      <m:t>b=1</m:t>
                    </m:r>
                  </m:sub>
                  <m:sup>
                    <m:r>
                      <w:rPr>
                        <w:rFonts w:ascii="Cambria Math" w:hAnsi="Cambria Math"/>
                      </w:rPr>
                      <m:t>B</m:t>
                    </m:r>
                  </m:sup>
                  <m:e>
                    <m:r>
                      <w:rPr>
                        <w:rFonts w:ascii="Cambria Math" w:hAnsi="Cambria Math"/>
                      </w:rPr>
                      <m:t xml:space="preserve">1[p ∈ </m:t>
                    </m:r>
                    <m:sSup>
                      <m:sSupPr>
                        <m:ctrlPr>
                          <w:rPr>
                            <w:rFonts w:ascii="Cambria Math" w:hAnsi="Cambria Math"/>
                          </w:rPr>
                        </m:ctrlPr>
                      </m:sSupPr>
                      <m:e>
                        <m:r>
                          <w:rPr>
                            <w:rFonts w:ascii="Cambria Math" w:hAnsi="Cambria Math"/>
                          </w:rPr>
                          <m:t>T</m:t>
                        </m:r>
                      </m:e>
                      <m:sup>
                        <m:r>
                          <w:rPr>
                            <w:rFonts w:ascii="Cambria Math" w:hAnsi="Cambria Math"/>
                          </w:rPr>
                          <m:t>(b)</m:t>
                        </m:r>
                      </m:sup>
                    </m:sSup>
                    <m:r>
                      <w:rPr>
                        <w:rFonts w:ascii="Cambria Math" w:hAnsi="Cambria Math"/>
                      </w:rPr>
                      <m:t>]</m:t>
                    </m:r>
                  </m:e>
                </m:nary>
              </m:oMath>
            </m:oMathPara>
          </w:p>
        </w:tc>
        <w:tc>
          <w:tcPr>
            <w:tcW w:w="900" w:type="dxa"/>
            <w:vAlign w:val="center"/>
          </w:tcPr>
          <w:p w14:paraId="079215EB" w14:textId="77777777" w:rsidR="00FD442D" w:rsidRDefault="00000000">
            <w:pPr>
              <w:jc w:val="right"/>
            </w:pPr>
            <w:r>
              <w:t>(7)</w:t>
            </w:r>
          </w:p>
        </w:tc>
      </w:tr>
    </w:tbl>
    <w:p w14:paraId="0E56D794" w14:textId="77777777" w:rsidR="00B76533" w:rsidRDefault="00000000">
      <w:r>
        <w:t>con B = 300 réplicas. La capacidad de discriminación se evalúa con las particiones temporal (143, 88 y 100 reportes para entrenamiento, calibración y prueba) y espacial (85, 48 y 58; bloques de 5 km y franja de borde de 250 m), con una validación que deja fuera un bloque de 5 km cada vez (331 reportes, 55 bloques) y con eventos de inundación del COE municipal (Municipio del Distrito Metropolitano de Quito, s. f.-c), asignados al píxel construido más cercano (máximo 50 m). Para un reporte i, con V el conjunto de sus posiciones válidas y ρ la densidad normalizada de la ecuación (2), la log densidad relativa y la captura del 10 % superior son</w:t>
      </w:r>
    </w:p>
    <w:tbl>
      <w:tblPr>
        <w:tblW w:w="9072" w:type="dxa"/>
        <w:tblLayout w:type="fixed"/>
        <w:tblLook w:val="04A0" w:firstRow="1" w:lastRow="0" w:firstColumn="1" w:lastColumn="0" w:noHBand="0" w:noVBand="1"/>
      </w:tblPr>
      <w:tblGrid>
        <w:gridCol w:w="8172"/>
        <w:gridCol w:w="900"/>
      </w:tblGrid>
      <w:tr w:rsidR="00FD442D" w14:paraId="5F2C53F4" w14:textId="77777777">
        <w:tc>
          <w:tcPr>
            <w:tcW w:w="8172" w:type="dxa"/>
            <w:vAlign w:val="center"/>
          </w:tcPr>
          <w:p w14:paraId="3498F101" w14:textId="77777777" w:rsidR="00FD442D" w:rsidRDefault="00000000">
            <w:pPr>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 xml:space="preserve"> = ln(</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nary>
                  <m:naryPr>
                    <m:chr m:val="∑"/>
                    <m:limLoc m:val="subSup"/>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i</m:t>
                        </m:r>
                      </m:sub>
                    </m:sSub>
                  </m:sub>
                  <m:sup/>
                  <m:e>
                    <m:r>
                      <w:rPr>
                        <w:rFonts w:ascii="Cambria Math" w:hAnsi="Cambria Math"/>
                      </w:rPr>
                      <m:t>ρ(</m:t>
                    </m:r>
                    <m:sSub>
                      <m:sSubPr>
                        <m:ctrlPr>
                          <w:rPr>
                            <w:rFonts w:ascii="Cambria Math" w:hAnsi="Cambria Math"/>
                          </w:rPr>
                        </m:ctrlPr>
                      </m:sSubPr>
                      <m:e>
                        <m:r>
                          <w:rPr>
                            <w:rFonts w:ascii="Cambria Math" w:hAnsi="Cambria Math"/>
                          </w:rPr>
                          <m:t>x</m:t>
                        </m:r>
                      </m:e>
                      <m:sub>
                        <m:r>
                          <w:rPr>
                            <w:rFonts w:ascii="Cambria Math" w:hAnsi="Cambria Math"/>
                          </w:rPr>
                          <m:t>iv</m:t>
                        </m:r>
                      </m:sub>
                    </m:sSub>
                    <m:r>
                      <w:rPr>
                        <w:rFonts w:ascii="Cambria Math" w:hAnsi="Cambria Math"/>
                      </w:rPr>
                      <m:t>)</m:t>
                    </m:r>
                  </m:e>
                </m:nary>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nary>
                  <m:naryPr>
                    <m:chr m:val="∑"/>
                    <m:limLoc m:val="subSup"/>
                    <m:supHide m:val="1"/>
                    <m:ctrlPr>
                      <w:rPr>
                        <w:rFonts w:ascii="Cambria Math" w:hAnsi="Cambria Math"/>
                      </w:rPr>
                    </m:ctrlPr>
                  </m:naryPr>
                  <m:sub>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i</m:t>
                        </m:r>
                      </m:sub>
                    </m:sSub>
                  </m:sub>
                  <m:sup/>
                  <m:e>
                    <m:r>
                      <w:rPr>
                        <w:rFonts w:ascii="Cambria Math" w:hAnsi="Cambria Math"/>
                      </w:rPr>
                      <m:t>1[ρ(</m:t>
                    </m:r>
                    <m:sSub>
                      <m:sSubPr>
                        <m:ctrlPr>
                          <w:rPr>
                            <w:rFonts w:ascii="Cambria Math" w:hAnsi="Cambria Math"/>
                          </w:rPr>
                        </m:ctrlPr>
                      </m:sSubPr>
                      <m:e>
                        <m:r>
                          <w:rPr>
                            <w:rFonts w:ascii="Cambria Math" w:hAnsi="Cambria Math"/>
                          </w:rPr>
                          <m:t>x</m:t>
                        </m:r>
                      </m:e>
                      <m:sub>
                        <m:r>
                          <w:rPr>
                            <w:rFonts w:ascii="Cambria Math" w:hAnsi="Cambria Math"/>
                          </w:rPr>
                          <m:t>iv</m:t>
                        </m:r>
                      </m:sub>
                    </m:sSub>
                    <m:r>
                      <w:rPr>
                        <w:rFonts w:ascii="Cambria Math" w:hAnsi="Cambria Math"/>
                      </w:rPr>
                      <m:t>) ≥ q]</m:t>
                    </m:r>
                  </m:e>
                </m:nary>
              </m:oMath>
            </m:oMathPara>
          </w:p>
        </w:tc>
        <w:tc>
          <w:tcPr>
            <w:tcW w:w="900" w:type="dxa"/>
            <w:vAlign w:val="center"/>
          </w:tcPr>
          <w:p w14:paraId="6A627B98" w14:textId="77777777" w:rsidR="00FD442D" w:rsidRDefault="00000000">
            <w:pPr>
              <w:jc w:val="right"/>
            </w:pPr>
            <w:r>
              <w:t>(8)</w:t>
            </w:r>
          </w:p>
        </w:tc>
      </w:tr>
    </w:tbl>
    <w:p w14:paraId="429D9A65" w14:textId="77777777" w:rsidR="00B76533" w:rsidRDefault="00000000">
      <w:r>
        <w:t>donde q es el cuantil 0.9 de ρ en el fondo. La separación responde al riesgo de dependencia entre muestras próximas (Roberts et al., 2017) y las puntuaciones se interpretan como reglas de puntuación (Gneiting &amp; Raftery, 2007), distintas de la exactitud de agua segmentada. Como la priorización se aplica solo al construido, repetimos la evaluación dentro de estratos de densidad construida, donde el fondo se restringe al mismo estrato. Las pruebas posestimación (colinealidad, influencia por bloques, incertidumbre de localización, penalización y temperado, estabilidad anual y dependencia entre bloques) se reportan en la sección S8.</w:t>
      </w:r>
    </w:p>
    <w:p w14:paraId="3338FDF7" w14:textId="77777777" w:rsidR="00B76533" w:rsidRDefault="00000000">
      <w:pPr>
        <w:pStyle w:val="Ttulo1"/>
      </w:pPr>
      <w:r>
        <w:t>3 Resultados</w:t>
      </w:r>
    </w:p>
    <w:p w14:paraId="2C73CE70" w14:textId="77777777" w:rsidR="00B76533" w:rsidRDefault="00000000">
      <w:pPr>
        <w:pStyle w:val="Ttulo2"/>
      </w:pPr>
      <w:r>
        <w:t>3.1 Prioridades por área y por NBI</w:t>
      </w:r>
    </w:p>
    <w:p w14:paraId="71C37321" w14:textId="77777777" w:rsidR="00B76533" w:rsidRDefault="00000000">
      <w:r>
        <w:t>La figura 3 compara la distribución de H con el índice social en el escenario principal (red residual y modelo estacional con ENSO). De las 13 parroquias elegidas con cada criterio, 11 son comunes (Jaccard de 0.733): Pomasqui y Tumbaco ingresan en lugar de Iñaquito y Kennedy. La selección por NBI aumenta 1.48 % el índice social cubierto (de 114.98 a 116.68) y reduce 3.10 % el área ponderada por lluvia (de 1 072.61 a 1 039.32 ha ponderadas).</w:t>
      </w:r>
    </w:p>
    <w:p w14:paraId="7224AE06" w14:textId="77777777" w:rsidR="00B76533" w:rsidRDefault="00000000">
      <w:pPr>
        <w:keepNext/>
      </w:pPr>
      <w:r>
        <w:rPr>
          <w:sz w:val="20"/>
        </w:rPr>
        <w:lastRenderedPageBreak/>
        <w:t>Figura 3. Prioridad territorial y prioridad ponderada por NBI</w:t>
      </w:r>
    </w:p>
    <w:p w14:paraId="043511BF" w14:textId="77777777" w:rsidR="00B76533" w:rsidRDefault="00000000">
      <w:pPr>
        <w:keepNext/>
      </w:pPr>
      <w:r>
        <w:rPr>
          <w:noProof/>
        </w:rPr>
        <w:drawing>
          <wp:inline distT="0" distB="0" distL="0" distR="0" wp14:anchorId="56ADE079" wp14:editId="67896CCD">
            <wp:extent cx="5760720" cy="2980654"/>
            <wp:effectExtent l="0" t="0" r="0" b="0"/>
            <wp:docPr id="3" name="Picture 3" descr="Figura 3. Prioridad territorial y prioridad ponderada por NBI. Fuente: construido prioritario residual, probabilidades húmedas del modelo estacional con ENSO y NBI municipal 2022. Elaboración propia. Hectáreas ponderadas para preparación, no superficie inundada ni número de personas afec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_prioridad_integrada.png"/>
                    <pic:cNvPicPr/>
                  </pic:nvPicPr>
                  <pic:blipFill>
                    <a:blip r:embed="rId10"/>
                    <a:stretch>
                      <a:fillRect/>
                    </a:stretch>
                  </pic:blipFill>
                  <pic:spPr>
                    <a:xfrm>
                      <a:off x="0" y="0"/>
                      <a:ext cx="5760720" cy="2980654"/>
                    </a:xfrm>
                    <a:prstGeom prst="rect">
                      <a:avLst/>
                    </a:prstGeom>
                  </pic:spPr>
                </pic:pic>
              </a:graphicData>
            </a:graphic>
          </wp:inline>
        </w:drawing>
      </w:r>
    </w:p>
    <w:p w14:paraId="02F67FB7" w14:textId="77777777" w:rsidR="00B76533" w:rsidRDefault="00000000">
      <w:r>
        <w:rPr>
          <w:sz w:val="18"/>
        </w:rPr>
        <w:t>Fuente: construido prioritario residual, probabilidades húmedas del modelo estacional con ENSO y NBI del Censo 2022 por hogares, recalculado desde microdatos. Elaboración propia. Hectáreas ponderadas para preparación, no superficie inundada ni número de personas afectadas. Los mapas originales del repositorio se muestran en las figuras S7 y S8.</w:t>
      </w:r>
    </w:p>
    <w:p w14:paraId="458E5337" w14:textId="77777777" w:rsidR="00B76533" w:rsidRDefault="00000000">
      <w:r>
        <w:t>La privación cambia el orden entre territorios con superficies ponderadas amplias (tabla 3). Guamaní tiene H de 131.58 ha ponderadas, inferior a Calderón y Turubamba, pero su NBI de 14.34 % lleva el índice a 18.87 y lo sitúa en primer lugar; Amaguaña pasa del lugar 13 por H al quinto, con 39.72 ha ponderadas y una tasa de 24.01 %. Tumbaco ocupa el lugar 22 por H y Pomasqui el 19, pero sus tasas de 15.55 % y 12.89 % les permiten ingresar. El cambio no corresponde a una nueva estimación de superficie susceptible: surge al valorar esa superficie con otro objetivo. Estos resultados describen prioridad conjunta y no una clasificación por pobreza: una parroquia puede tener NBI elevado y poca superficie seleccionada, o NBI moderado y una base susceptible amplia.</w:t>
      </w:r>
    </w:p>
    <w:p w14:paraId="001B469E" w14:textId="77777777" w:rsidR="00B76533" w:rsidRDefault="00000000">
      <w:pPr>
        <w:keepNext/>
      </w:pPr>
      <w:r>
        <w:rPr>
          <w:sz w:val="20"/>
        </w:rPr>
        <w:t>Tabla 3. Parroquias priorizadas por NBI en el escenario principal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080"/>
        <w:gridCol w:w="1368"/>
        <w:gridCol w:w="1440"/>
        <w:gridCol w:w="1512"/>
        <w:gridCol w:w="1296"/>
      </w:tblGrid>
      <w:tr w:rsidR="00B76533" w14:paraId="607158E6" w14:textId="77777777">
        <w:trPr>
          <w:cantSplit/>
          <w:tblHeader/>
          <w:jc w:val="center"/>
        </w:trPr>
        <w:tc>
          <w:tcPr>
            <w:tcW w:w="2376" w:type="dxa"/>
            <w:shd w:val="clear" w:color="auto" w:fill="E9EEF4"/>
            <w:tcMar>
              <w:top w:w="60" w:type="dxa"/>
              <w:left w:w="60" w:type="dxa"/>
              <w:bottom w:w="60" w:type="dxa"/>
              <w:right w:w="60" w:type="dxa"/>
            </w:tcMar>
            <w:vAlign w:val="center"/>
          </w:tcPr>
          <w:p w14:paraId="3170D984" w14:textId="77777777" w:rsidR="00B76533" w:rsidRDefault="00000000">
            <w:pPr>
              <w:spacing w:after="20" w:line="252" w:lineRule="auto"/>
              <w:jc w:val="left"/>
            </w:pPr>
            <w:r>
              <w:rPr>
                <w:b/>
                <w:sz w:val="18"/>
              </w:rPr>
              <w:t>Parroquia</w:t>
            </w:r>
          </w:p>
        </w:tc>
        <w:tc>
          <w:tcPr>
            <w:tcW w:w="1080" w:type="dxa"/>
            <w:shd w:val="clear" w:color="auto" w:fill="E9EEF4"/>
            <w:tcMar>
              <w:top w:w="60" w:type="dxa"/>
              <w:left w:w="60" w:type="dxa"/>
              <w:bottom w:w="60" w:type="dxa"/>
              <w:right w:w="60" w:type="dxa"/>
            </w:tcMar>
            <w:vAlign w:val="center"/>
          </w:tcPr>
          <w:p w14:paraId="515566AF" w14:textId="77777777" w:rsidR="00B76533" w:rsidRDefault="00000000">
            <w:pPr>
              <w:spacing w:after="20" w:line="252" w:lineRule="auto"/>
              <w:jc w:val="left"/>
            </w:pPr>
            <w:r>
              <w:rPr>
                <w:b/>
                <w:sz w:val="18"/>
              </w:rPr>
              <w:t>NBI (%)</w:t>
            </w:r>
          </w:p>
        </w:tc>
        <w:tc>
          <w:tcPr>
            <w:tcW w:w="1368" w:type="dxa"/>
            <w:shd w:val="clear" w:color="auto" w:fill="E9EEF4"/>
            <w:tcMar>
              <w:top w:w="60" w:type="dxa"/>
              <w:left w:w="60" w:type="dxa"/>
              <w:bottom w:w="60" w:type="dxa"/>
              <w:right w:w="60" w:type="dxa"/>
            </w:tcMar>
            <w:vAlign w:val="center"/>
          </w:tcPr>
          <w:p w14:paraId="5451259C" w14:textId="77777777" w:rsidR="00B76533" w:rsidRDefault="00000000">
            <w:pPr>
              <w:spacing w:after="20" w:line="252" w:lineRule="auto"/>
              <w:jc w:val="center"/>
            </w:pPr>
            <w:r>
              <w:rPr>
                <w:b/>
                <w:sz w:val="18"/>
              </w:rPr>
              <w:t>H (ha pond.)</w:t>
            </w:r>
          </w:p>
        </w:tc>
        <w:tc>
          <w:tcPr>
            <w:tcW w:w="1440" w:type="dxa"/>
            <w:shd w:val="clear" w:color="auto" w:fill="E9EEF4"/>
            <w:tcMar>
              <w:top w:w="60" w:type="dxa"/>
              <w:left w:w="60" w:type="dxa"/>
              <w:bottom w:w="60" w:type="dxa"/>
              <w:right w:w="60" w:type="dxa"/>
            </w:tcMar>
            <w:vAlign w:val="center"/>
          </w:tcPr>
          <w:p w14:paraId="481CA9F0" w14:textId="77777777" w:rsidR="00B76533" w:rsidRDefault="00000000">
            <w:pPr>
              <w:spacing w:after="20" w:line="252" w:lineRule="auto"/>
              <w:jc w:val="center"/>
            </w:pPr>
            <w:r>
              <w:rPr>
                <w:b/>
                <w:sz w:val="18"/>
              </w:rPr>
              <w:t>Índice NBI</w:t>
            </w:r>
          </w:p>
        </w:tc>
        <w:tc>
          <w:tcPr>
            <w:tcW w:w="1512" w:type="dxa"/>
            <w:shd w:val="clear" w:color="auto" w:fill="E9EEF4"/>
            <w:tcMar>
              <w:top w:w="60" w:type="dxa"/>
              <w:left w:w="60" w:type="dxa"/>
              <w:bottom w:w="60" w:type="dxa"/>
              <w:right w:w="60" w:type="dxa"/>
            </w:tcMar>
            <w:vAlign w:val="center"/>
          </w:tcPr>
          <w:p w14:paraId="0EB034FB" w14:textId="77777777" w:rsidR="00B76533" w:rsidRDefault="00000000">
            <w:pPr>
              <w:spacing w:after="20" w:line="252" w:lineRule="auto"/>
              <w:jc w:val="center"/>
            </w:pPr>
            <w:r>
              <w:rPr>
                <w:b/>
                <w:sz w:val="18"/>
              </w:rPr>
              <w:t>Orden por área</w:t>
            </w:r>
          </w:p>
        </w:tc>
        <w:tc>
          <w:tcPr>
            <w:tcW w:w="1296" w:type="dxa"/>
            <w:shd w:val="clear" w:color="auto" w:fill="E9EEF4"/>
            <w:tcMar>
              <w:top w:w="60" w:type="dxa"/>
              <w:left w:w="60" w:type="dxa"/>
              <w:bottom w:w="60" w:type="dxa"/>
              <w:right w:w="60" w:type="dxa"/>
            </w:tcMar>
            <w:vAlign w:val="center"/>
          </w:tcPr>
          <w:p w14:paraId="18ED3E07" w14:textId="77777777" w:rsidR="00B76533" w:rsidRDefault="00000000">
            <w:pPr>
              <w:spacing w:after="20" w:line="252" w:lineRule="auto"/>
              <w:jc w:val="center"/>
            </w:pPr>
            <w:r>
              <w:rPr>
                <w:b/>
                <w:sz w:val="18"/>
              </w:rPr>
              <w:t>Acuerdo</w:t>
            </w:r>
          </w:p>
        </w:tc>
      </w:tr>
      <w:tr w:rsidR="00B76533" w14:paraId="716586CE" w14:textId="77777777">
        <w:trPr>
          <w:cantSplit/>
          <w:jc w:val="center"/>
        </w:trPr>
        <w:tc>
          <w:tcPr>
            <w:tcW w:w="2376" w:type="dxa"/>
            <w:tcMar>
              <w:top w:w="60" w:type="dxa"/>
              <w:left w:w="60" w:type="dxa"/>
              <w:bottom w:w="60" w:type="dxa"/>
              <w:right w:w="60" w:type="dxa"/>
            </w:tcMar>
            <w:vAlign w:val="center"/>
          </w:tcPr>
          <w:p w14:paraId="776C5EE5" w14:textId="77777777" w:rsidR="00B76533" w:rsidRDefault="00000000">
            <w:pPr>
              <w:spacing w:after="20" w:line="252" w:lineRule="auto"/>
              <w:jc w:val="left"/>
            </w:pPr>
            <w:r>
              <w:rPr>
                <w:sz w:val="18"/>
              </w:rPr>
              <w:t>Guamaní</w:t>
            </w:r>
          </w:p>
        </w:tc>
        <w:tc>
          <w:tcPr>
            <w:tcW w:w="1080" w:type="dxa"/>
            <w:tcMar>
              <w:top w:w="60" w:type="dxa"/>
              <w:left w:w="60" w:type="dxa"/>
              <w:bottom w:w="60" w:type="dxa"/>
              <w:right w:w="60" w:type="dxa"/>
            </w:tcMar>
            <w:vAlign w:val="center"/>
          </w:tcPr>
          <w:p w14:paraId="13817440" w14:textId="77777777" w:rsidR="00B76533" w:rsidRDefault="00000000">
            <w:pPr>
              <w:spacing w:after="20" w:line="252" w:lineRule="auto"/>
              <w:jc w:val="left"/>
            </w:pPr>
            <w:r>
              <w:rPr>
                <w:sz w:val="18"/>
              </w:rPr>
              <w:t>14.34</w:t>
            </w:r>
          </w:p>
        </w:tc>
        <w:tc>
          <w:tcPr>
            <w:tcW w:w="1368" w:type="dxa"/>
            <w:tcMar>
              <w:top w:w="60" w:type="dxa"/>
              <w:left w:w="60" w:type="dxa"/>
              <w:bottom w:w="60" w:type="dxa"/>
              <w:right w:w="60" w:type="dxa"/>
            </w:tcMar>
            <w:vAlign w:val="center"/>
          </w:tcPr>
          <w:p w14:paraId="685574DE" w14:textId="77777777" w:rsidR="00B76533" w:rsidRDefault="00000000">
            <w:pPr>
              <w:spacing w:after="20" w:line="252" w:lineRule="auto"/>
              <w:jc w:val="center"/>
            </w:pPr>
            <w:r>
              <w:rPr>
                <w:sz w:val="18"/>
              </w:rPr>
              <w:t>131.58</w:t>
            </w:r>
          </w:p>
        </w:tc>
        <w:tc>
          <w:tcPr>
            <w:tcW w:w="1440" w:type="dxa"/>
            <w:tcMar>
              <w:top w:w="60" w:type="dxa"/>
              <w:left w:w="60" w:type="dxa"/>
              <w:bottom w:w="60" w:type="dxa"/>
              <w:right w:w="60" w:type="dxa"/>
            </w:tcMar>
            <w:vAlign w:val="center"/>
          </w:tcPr>
          <w:p w14:paraId="31715CA3" w14:textId="77777777" w:rsidR="00B76533" w:rsidRDefault="00000000">
            <w:pPr>
              <w:spacing w:after="20" w:line="252" w:lineRule="auto"/>
              <w:jc w:val="center"/>
            </w:pPr>
            <w:r>
              <w:rPr>
                <w:sz w:val="18"/>
              </w:rPr>
              <w:t>18.87</w:t>
            </w:r>
          </w:p>
        </w:tc>
        <w:tc>
          <w:tcPr>
            <w:tcW w:w="1512" w:type="dxa"/>
            <w:tcMar>
              <w:top w:w="60" w:type="dxa"/>
              <w:left w:w="60" w:type="dxa"/>
              <w:bottom w:w="60" w:type="dxa"/>
              <w:right w:w="60" w:type="dxa"/>
            </w:tcMar>
            <w:vAlign w:val="center"/>
          </w:tcPr>
          <w:p w14:paraId="64FBB9F2" w14:textId="77777777" w:rsidR="00B76533" w:rsidRDefault="00000000">
            <w:pPr>
              <w:spacing w:after="20" w:line="252" w:lineRule="auto"/>
              <w:jc w:val="center"/>
            </w:pPr>
            <w:r>
              <w:rPr>
                <w:sz w:val="18"/>
              </w:rPr>
              <w:t>3</w:t>
            </w:r>
          </w:p>
        </w:tc>
        <w:tc>
          <w:tcPr>
            <w:tcW w:w="1296" w:type="dxa"/>
            <w:tcMar>
              <w:top w:w="60" w:type="dxa"/>
              <w:left w:w="60" w:type="dxa"/>
              <w:bottom w:w="60" w:type="dxa"/>
              <w:right w:w="60" w:type="dxa"/>
            </w:tcMar>
            <w:vAlign w:val="center"/>
          </w:tcPr>
          <w:p w14:paraId="281965DD" w14:textId="77777777" w:rsidR="00B76533" w:rsidRDefault="00000000">
            <w:pPr>
              <w:spacing w:after="20" w:line="252" w:lineRule="auto"/>
              <w:jc w:val="center"/>
            </w:pPr>
            <w:r>
              <w:rPr>
                <w:sz w:val="18"/>
              </w:rPr>
              <w:t>6/6</w:t>
            </w:r>
          </w:p>
        </w:tc>
      </w:tr>
      <w:tr w:rsidR="00B76533" w14:paraId="5AB5D802" w14:textId="77777777">
        <w:trPr>
          <w:cantSplit/>
          <w:jc w:val="center"/>
        </w:trPr>
        <w:tc>
          <w:tcPr>
            <w:tcW w:w="2376" w:type="dxa"/>
            <w:tcMar>
              <w:top w:w="60" w:type="dxa"/>
              <w:left w:w="60" w:type="dxa"/>
              <w:bottom w:w="60" w:type="dxa"/>
              <w:right w:w="60" w:type="dxa"/>
            </w:tcMar>
            <w:vAlign w:val="center"/>
          </w:tcPr>
          <w:p w14:paraId="5EF17D87" w14:textId="77777777" w:rsidR="00B76533" w:rsidRDefault="00000000">
            <w:pPr>
              <w:spacing w:after="20" w:line="252" w:lineRule="auto"/>
              <w:jc w:val="left"/>
            </w:pPr>
            <w:r>
              <w:rPr>
                <w:sz w:val="18"/>
              </w:rPr>
              <w:t>Calderón</w:t>
            </w:r>
          </w:p>
        </w:tc>
        <w:tc>
          <w:tcPr>
            <w:tcW w:w="1080" w:type="dxa"/>
            <w:tcMar>
              <w:top w:w="60" w:type="dxa"/>
              <w:left w:w="60" w:type="dxa"/>
              <w:bottom w:w="60" w:type="dxa"/>
              <w:right w:w="60" w:type="dxa"/>
            </w:tcMar>
            <w:vAlign w:val="center"/>
          </w:tcPr>
          <w:p w14:paraId="71698513" w14:textId="77777777" w:rsidR="00B76533" w:rsidRDefault="00000000">
            <w:pPr>
              <w:spacing w:after="20" w:line="252" w:lineRule="auto"/>
              <w:jc w:val="left"/>
            </w:pPr>
            <w:r>
              <w:rPr>
                <w:sz w:val="18"/>
              </w:rPr>
              <w:t>12.24</w:t>
            </w:r>
          </w:p>
        </w:tc>
        <w:tc>
          <w:tcPr>
            <w:tcW w:w="1368" w:type="dxa"/>
            <w:tcMar>
              <w:top w:w="60" w:type="dxa"/>
              <w:left w:w="60" w:type="dxa"/>
              <w:bottom w:w="60" w:type="dxa"/>
              <w:right w:w="60" w:type="dxa"/>
            </w:tcMar>
            <w:vAlign w:val="center"/>
          </w:tcPr>
          <w:p w14:paraId="78230C5B" w14:textId="77777777" w:rsidR="00B76533" w:rsidRDefault="00000000">
            <w:pPr>
              <w:spacing w:after="20" w:line="252" w:lineRule="auto"/>
              <w:jc w:val="center"/>
            </w:pPr>
            <w:r>
              <w:rPr>
                <w:sz w:val="18"/>
              </w:rPr>
              <w:t>149.68</w:t>
            </w:r>
          </w:p>
        </w:tc>
        <w:tc>
          <w:tcPr>
            <w:tcW w:w="1440" w:type="dxa"/>
            <w:tcMar>
              <w:top w:w="60" w:type="dxa"/>
              <w:left w:w="60" w:type="dxa"/>
              <w:bottom w:w="60" w:type="dxa"/>
              <w:right w:w="60" w:type="dxa"/>
            </w:tcMar>
            <w:vAlign w:val="center"/>
          </w:tcPr>
          <w:p w14:paraId="739DF2D2" w14:textId="77777777" w:rsidR="00B76533" w:rsidRDefault="00000000">
            <w:pPr>
              <w:spacing w:after="20" w:line="252" w:lineRule="auto"/>
              <w:jc w:val="center"/>
            </w:pPr>
            <w:r>
              <w:rPr>
                <w:sz w:val="18"/>
              </w:rPr>
              <w:t>18.32</w:t>
            </w:r>
          </w:p>
        </w:tc>
        <w:tc>
          <w:tcPr>
            <w:tcW w:w="1512" w:type="dxa"/>
            <w:tcMar>
              <w:top w:w="60" w:type="dxa"/>
              <w:left w:w="60" w:type="dxa"/>
              <w:bottom w:w="60" w:type="dxa"/>
              <w:right w:w="60" w:type="dxa"/>
            </w:tcMar>
            <w:vAlign w:val="center"/>
          </w:tcPr>
          <w:p w14:paraId="0D79548F" w14:textId="77777777" w:rsidR="00B76533" w:rsidRDefault="00000000">
            <w:pPr>
              <w:spacing w:after="20" w:line="252" w:lineRule="auto"/>
              <w:jc w:val="center"/>
            </w:pPr>
            <w:r>
              <w:rPr>
                <w:sz w:val="18"/>
              </w:rPr>
              <w:t>1</w:t>
            </w:r>
          </w:p>
        </w:tc>
        <w:tc>
          <w:tcPr>
            <w:tcW w:w="1296" w:type="dxa"/>
            <w:tcMar>
              <w:top w:w="60" w:type="dxa"/>
              <w:left w:w="60" w:type="dxa"/>
              <w:bottom w:w="60" w:type="dxa"/>
              <w:right w:w="60" w:type="dxa"/>
            </w:tcMar>
            <w:vAlign w:val="center"/>
          </w:tcPr>
          <w:p w14:paraId="02ADA594" w14:textId="77777777" w:rsidR="00B76533" w:rsidRDefault="00000000">
            <w:pPr>
              <w:spacing w:after="20" w:line="252" w:lineRule="auto"/>
              <w:jc w:val="center"/>
            </w:pPr>
            <w:r>
              <w:rPr>
                <w:sz w:val="18"/>
              </w:rPr>
              <w:t>4/6</w:t>
            </w:r>
          </w:p>
        </w:tc>
      </w:tr>
      <w:tr w:rsidR="00B76533" w14:paraId="5A14CDD9" w14:textId="77777777">
        <w:trPr>
          <w:cantSplit/>
          <w:jc w:val="center"/>
        </w:trPr>
        <w:tc>
          <w:tcPr>
            <w:tcW w:w="2376" w:type="dxa"/>
            <w:tcMar>
              <w:top w:w="60" w:type="dxa"/>
              <w:left w:w="60" w:type="dxa"/>
              <w:bottom w:w="60" w:type="dxa"/>
              <w:right w:w="60" w:type="dxa"/>
            </w:tcMar>
            <w:vAlign w:val="center"/>
          </w:tcPr>
          <w:p w14:paraId="0D2CBC3E" w14:textId="77777777" w:rsidR="00B76533" w:rsidRDefault="00000000">
            <w:pPr>
              <w:spacing w:after="20" w:line="252" w:lineRule="auto"/>
              <w:jc w:val="left"/>
            </w:pPr>
            <w:r>
              <w:rPr>
                <w:sz w:val="18"/>
              </w:rPr>
              <w:t>Turubamba</w:t>
            </w:r>
          </w:p>
        </w:tc>
        <w:tc>
          <w:tcPr>
            <w:tcW w:w="1080" w:type="dxa"/>
            <w:tcMar>
              <w:top w:w="60" w:type="dxa"/>
              <w:left w:w="60" w:type="dxa"/>
              <w:bottom w:w="60" w:type="dxa"/>
              <w:right w:w="60" w:type="dxa"/>
            </w:tcMar>
            <w:vAlign w:val="center"/>
          </w:tcPr>
          <w:p w14:paraId="083E5624" w14:textId="77777777" w:rsidR="00B76533" w:rsidRDefault="00000000">
            <w:pPr>
              <w:spacing w:after="20" w:line="252" w:lineRule="auto"/>
              <w:jc w:val="left"/>
            </w:pPr>
            <w:r>
              <w:rPr>
                <w:sz w:val="18"/>
              </w:rPr>
              <w:t>10.78</w:t>
            </w:r>
          </w:p>
        </w:tc>
        <w:tc>
          <w:tcPr>
            <w:tcW w:w="1368" w:type="dxa"/>
            <w:tcMar>
              <w:top w:w="60" w:type="dxa"/>
              <w:left w:w="60" w:type="dxa"/>
              <w:bottom w:w="60" w:type="dxa"/>
              <w:right w:w="60" w:type="dxa"/>
            </w:tcMar>
            <w:vAlign w:val="center"/>
          </w:tcPr>
          <w:p w14:paraId="5A7B5EB8" w14:textId="77777777" w:rsidR="00B76533" w:rsidRDefault="00000000">
            <w:pPr>
              <w:spacing w:after="20" w:line="252" w:lineRule="auto"/>
              <w:jc w:val="center"/>
            </w:pPr>
            <w:r>
              <w:rPr>
                <w:sz w:val="18"/>
              </w:rPr>
              <w:t>143.71</w:t>
            </w:r>
          </w:p>
        </w:tc>
        <w:tc>
          <w:tcPr>
            <w:tcW w:w="1440" w:type="dxa"/>
            <w:tcMar>
              <w:top w:w="60" w:type="dxa"/>
              <w:left w:w="60" w:type="dxa"/>
              <w:bottom w:w="60" w:type="dxa"/>
              <w:right w:w="60" w:type="dxa"/>
            </w:tcMar>
            <w:vAlign w:val="center"/>
          </w:tcPr>
          <w:p w14:paraId="49EDA929" w14:textId="77777777" w:rsidR="00B76533" w:rsidRDefault="00000000">
            <w:pPr>
              <w:spacing w:after="20" w:line="252" w:lineRule="auto"/>
              <w:jc w:val="center"/>
            </w:pPr>
            <w:r>
              <w:rPr>
                <w:sz w:val="18"/>
              </w:rPr>
              <w:t>15.49</w:t>
            </w:r>
          </w:p>
        </w:tc>
        <w:tc>
          <w:tcPr>
            <w:tcW w:w="1512" w:type="dxa"/>
            <w:tcMar>
              <w:top w:w="60" w:type="dxa"/>
              <w:left w:w="60" w:type="dxa"/>
              <w:bottom w:w="60" w:type="dxa"/>
              <w:right w:w="60" w:type="dxa"/>
            </w:tcMar>
            <w:vAlign w:val="center"/>
          </w:tcPr>
          <w:p w14:paraId="3D7F6E73" w14:textId="77777777" w:rsidR="00B76533" w:rsidRDefault="00000000">
            <w:pPr>
              <w:spacing w:after="20" w:line="252" w:lineRule="auto"/>
              <w:jc w:val="center"/>
            </w:pPr>
            <w:r>
              <w:rPr>
                <w:sz w:val="18"/>
              </w:rPr>
              <w:t>2</w:t>
            </w:r>
          </w:p>
        </w:tc>
        <w:tc>
          <w:tcPr>
            <w:tcW w:w="1296" w:type="dxa"/>
            <w:tcMar>
              <w:top w:w="60" w:type="dxa"/>
              <w:left w:w="60" w:type="dxa"/>
              <w:bottom w:w="60" w:type="dxa"/>
              <w:right w:w="60" w:type="dxa"/>
            </w:tcMar>
            <w:vAlign w:val="center"/>
          </w:tcPr>
          <w:p w14:paraId="5CBD0279" w14:textId="77777777" w:rsidR="00B76533" w:rsidRDefault="00000000">
            <w:pPr>
              <w:spacing w:after="20" w:line="252" w:lineRule="auto"/>
              <w:jc w:val="center"/>
            </w:pPr>
            <w:r>
              <w:rPr>
                <w:sz w:val="18"/>
              </w:rPr>
              <w:t>4/6</w:t>
            </w:r>
          </w:p>
        </w:tc>
      </w:tr>
      <w:tr w:rsidR="00B76533" w14:paraId="5264DF75" w14:textId="77777777">
        <w:trPr>
          <w:cantSplit/>
          <w:jc w:val="center"/>
        </w:trPr>
        <w:tc>
          <w:tcPr>
            <w:tcW w:w="2376" w:type="dxa"/>
            <w:tcMar>
              <w:top w:w="60" w:type="dxa"/>
              <w:left w:w="60" w:type="dxa"/>
              <w:bottom w:w="60" w:type="dxa"/>
              <w:right w:w="60" w:type="dxa"/>
            </w:tcMar>
            <w:vAlign w:val="center"/>
          </w:tcPr>
          <w:p w14:paraId="6B29DB44" w14:textId="77777777" w:rsidR="00B76533" w:rsidRDefault="00000000">
            <w:pPr>
              <w:spacing w:after="20" w:line="252" w:lineRule="auto"/>
              <w:jc w:val="left"/>
            </w:pPr>
            <w:r>
              <w:rPr>
                <w:sz w:val="18"/>
              </w:rPr>
              <w:t>La Ecuatoriana</w:t>
            </w:r>
          </w:p>
        </w:tc>
        <w:tc>
          <w:tcPr>
            <w:tcW w:w="1080" w:type="dxa"/>
            <w:tcMar>
              <w:top w:w="60" w:type="dxa"/>
              <w:left w:w="60" w:type="dxa"/>
              <w:bottom w:w="60" w:type="dxa"/>
              <w:right w:w="60" w:type="dxa"/>
            </w:tcMar>
            <w:vAlign w:val="center"/>
          </w:tcPr>
          <w:p w14:paraId="3FCDACF3" w14:textId="77777777" w:rsidR="00B76533" w:rsidRDefault="00000000">
            <w:pPr>
              <w:spacing w:after="20" w:line="252" w:lineRule="auto"/>
              <w:jc w:val="left"/>
            </w:pPr>
            <w:r>
              <w:rPr>
                <w:sz w:val="18"/>
              </w:rPr>
              <w:t>10.34</w:t>
            </w:r>
          </w:p>
        </w:tc>
        <w:tc>
          <w:tcPr>
            <w:tcW w:w="1368" w:type="dxa"/>
            <w:tcMar>
              <w:top w:w="60" w:type="dxa"/>
              <w:left w:w="60" w:type="dxa"/>
              <w:bottom w:w="60" w:type="dxa"/>
              <w:right w:w="60" w:type="dxa"/>
            </w:tcMar>
            <w:vAlign w:val="center"/>
          </w:tcPr>
          <w:p w14:paraId="5070B9AC" w14:textId="77777777" w:rsidR="00B76533" w:rsidRDefault="00000000">
            <w:pPr>
              <w:spacing w:after="20" w:line="252" w:lineRule="auto"/>
              <w:jc w:val="center"/>
            </w:pPr>
            <w:r>
              <w:rPr>
                <w:sz w:val="18"/>
              </w:rPr>
              <w:t>105.68</w:t>
            </w:r>
          </w:p>
        </w:tc>
        <w:tc>
          <w:tcPr>
            <w:tcW w:w="1440" w:type="dxa"/>
            <w:tcMar>
              <w:top w:w="60" w:type="dxa"/>
              <w:left w:w="60" w:type="dxa"/>
              <w:bottom w:w="60" w:type="dxa"/>
              <w:right w:w="60" w:type="dxa"/>
            </w:tcMar>
            <w:vAlign w:val="center"/>
          </w:tcPr>
          <w:p w14:paraId="0F8FDBB2" w14:textId="77777777" w:rsidR="00B76533" w:rsidRDefault="00000000">
            <w:pPr>
              <w:spacing w:after="20" w:line="252" w:lineRule="auto"/>
              <w:jc w:val="center"/>
            </w:pPr>
            <w:r>
              <w:rPr>
                <w:sz w:val="18"/>
              </w:rPr>
              <w:t>10.92</w:t>
            </w:r>
          </w:p>
        </w:tc>
        <w:tc>
          <w:tcPr>
            <w:tcW w:w="1512" w:type="dxa"/>
            <w:tcMar>
              <w:top w:w="60" w:type="dxa"/>
              <w:left w:w="60" w:type="dxa"/>
              <w:bottom w:w="60" w:type="dxa"/>
              <w:right w:w="60" w:type="dxa"/>
            </w:tcMar>
            <w:vAlign w:val="center"/>
          </w:tcPr>
          <w:p w14:paraId="1CEBF7D5" w14:textId="77777777" w:rsidR="00B76533" w:rsidRDefault="00000000">
            <w:pPr>
              <w:spacing w:after="20" w:line="252" w:lineRule="auto"/>
              <w:jc w:val="center"/>
            </w:pPr>
            <w:r>
              <w:rPr>
                <w:sz w:val="18"/>
              </w:rPr>
              <w:t>5</w:t>
            </w:r>
          </w:p>
        </w:tc>
        <w:tc>
          <w:tcPr>
            <w:tcW w:w="1296" w:type="dxa"/>
            <w:tcMar>
              <w:top w:w="60" w:type="dxa"/>
              <w:left w:w="60" w:type="dxa"/>
              <w:bottom w:w="60" w:type="dxa"/>
              <w:right w:w="60" w:type="dxa"/>
            </w:tcMar>
            <w:vAlign w:val="center"/>
          </w:tcPr>
          <w:p w14:paraId="238F7AC0" w14:textId="77777777" w:rsidR="00B76533" w:rsidRDefault="00000000">
            <w:pPr>
              <w:spacing w:after="20" w:line="252" w:lineRule="auto"/>
              <w:jc w:val="center"/>
            </w:pPr>
            <w:r>
              <w:rPr>
                <w:sz w:val="18"/>
              </w:rPr>
              <w:t>6/6</w:t>
            </w:r>
          </w:p>
        </w:tc>
      </w:tr>
      <w:tr w:rsidR="00B76533" w14:paraId="58010C83" w14:textId="77777777">
        <w:trPr>
          <w:cantSplit/>
          <w:jc w:val="center"/>
        </w:trPr>
        <w:tc>
          <w:tcPr>
            <w:tcW w:w="2376" w:type="dxa"/>
            <w:tcMar>
              <w:top w:w="60" w:type="dxa"/>
              <w:left w:w="60" w:type="dxa"/>
              <w:bottom w:w="60" w:type="dxa"/>
              <w:right w:w="60" w:type="dxa"/>
            </w:tcMar>
            <w:vAlign w:val="center"/>
          </w:tcPr>
          <w:p w14:paraId="02DD5ED4" w14:textId="77777777" w:rsidR="00B76533" w:rsidRDefault="00000000">
            <w:pPr>
              <w:spacing w:after="20" w:line="252" w:lineRule="auto"/>
              <w:jc w:val="left"/>
            </w:pPr>
            <w:r>
              <w:rPr>
                <w:sz w:val="18"/>
              </w:rPr>
              <w:t>Amaguaña</w:t>
            </w:r>
          </w:p>
        </w:tc>
        <w:tc>
          <w:tcPr>
            <w:tcW w:w="1080" w:type="dxa"/>
            <w:tcMar>
              <w:top w:w="60" w:type="dxa"/>
              <w:left w:w="60" w:type="dxa"/>
              <w:bottom w:w="60" w:type="dxa"/>
              <w:right w:w="60" w:type="dxa"/>
            </w:tcMar>
            <w:vAlign w:val="center"/>
          </w:tcPr>
          <w:p w14:paraId="018B9DE5" w14:textId="77777777" w:rsidR="00B76533" w:rsidRDefault="00000000">
            <w:pPr>
              <w:spacing w:after="20" w:line="252" w:lineRule="auto"/>
              <w:jc w:val="left"/>
            </w:pPr>
            <w:r>
              <w:rPr>
                <w:sz w:val="18"/>
              </w:rPr>
              <w:t>24.01</w:t>
            </w:r>
          </w:p>
        </w:tc>
        <w:tc>
          <w:tcPr>
            <w:tcW w:w="1368" w:type="dxa"/>
            <w:tcMar>
              <w:top w:w="60" w:type="dxa"/>
              <w:left w:w="60" w:type="dxa"/>
              <w:bottom w:w="60" w:type="dxa"/>
              <w:right w:w="60" w:type="dxa"/>
            </w:tcMar>
            <w:vAlign w:val="center"/>
          </w:tcPr>
          <w:p w14:paraId="64351A7B" w14:textId="77777777" w:rsidR="00B76533" w:rsidRDefault="00000000">
            <w:pPr>
              <w:spacing w:after="20" w:line="252" w:lineRule="auto"/>
              <w:jc w:val="center"/>
            </w:pPr>
            <w:r>
              <w:rPr>
                <w:sz w:val="18"/>
              </w:rPr>
              <w:t>39.72</w:t>
            </w:r>
          </w:p>
        </w:tc>
        <w:tc>
          <w:tcPr>
            <w:tcW w:w="1440" w:type="dxa"/>
            <w:tcMar>
              <w:top w:w="60" w:type="dxa"/>
              <w:left w:w="60" w:type="dxa"/>
              <w:bottom w:w="60" w:type="dxa"/>
              <w:right w:w="60" w:type="dxa"/>
            </w:tcMar>
            <w:vAlign w:val="center"/>
          </w:tcPr>
          <w:p w14:paraId="6445CBAC" w14:textId="77777777" w:rsidR="00B76533" w:rsidRDefault="00000000">
            <w:pPr>
              <w:spacing w:after="20" w:line="252" w:lineRule="auto"/>
              <w:jc w:val="center"/>
            </w:pPr>
            <w:r>
              <w:rPr>
                <w:sz w:val="18"/>
              </w:rPr>
              <w:t>9.54</w:t>
            </w:r>
          </w:p>
        </w:tc>
        <w:tc>
          <w:tcPr>
            <w:tcW w:w="1512" w:type="dxa"/>
            <w:tcMar>
              <w:top w:w="60" w:type="dxa"/>
              <w:left w:w="60" w:type="dxa"/>
              <w:bottom w:w="60" w:type="dxa"/>
              <w:right w:w="60" w:type="dxa"/>
            </w:tcMar>
            <w:vAlign w:val="center"/>
          </w:tcPr>
          <w:p w14:paraId="64A38144" w14:textId="77777777" w:rsidR="00B76533" w:rsidRDefault="00000000">
            <w:pPr>
              <w:spacing w:after="20" w:line="252" w:lineRule="auto"/>
              <w:jc w:val="center"/>
            </w:pPr>
            <w:r>
              <w:rPr>
                <w:sz w:val="18"/>
              </w:rPr>
              <w:t>13</w:t>
            </w:r>
          </w:p>
        </w:tc>
        <w:tc>
          <w:tcPr>
            <w:tcW w:w="1296" w:type="dxa"/>
            <w:tcMar>
              <w:top w:w="60" w:type="dxa"/>
              <w:left w:w="60" w:type="dxa"/>
              <w:bottom w:w="60" w:type="dxa"/>
              <w:right w:w="60" w:type="dxa"/>
            </w:tcMar>
            <w:vAlign w:val="center"/>
          </w:tcPr>
          <w:p w14:paraId="6FA2EA3D" w14:textId="77777777" w:rsidR="00B76533" w:rsidRDefault="00000000">
            <w:pPr>
              <w:spacing w:after="20" w:line="252" w:lineRule="auto"/>
              <w:jc w:val="center"/>
            </w:pPr>
            <w:r>
              <w:rPr>
                <w:sz w:val="18"/>
              </w:rPr>
              <w:t>6/6</w:t>
            </w:r>
          </w:p>
        </w:tc>
      </w:tr>
      <w:tr w:rsidR="00B76533" w14:paraId="583EFB90" w14:textId="77777777">
        <w:trPr>
          <w:cantSplit/>
          <w:jc w:val="center"/>
        </w:trPr>
        <w:tc>
          <w:tcPr>
            <w:tcW w:w="2376" w:type="dxa"/>
            <w:tcMar>
              <w:top w:w="60" w:type="dxa"/>
              <w:left w:w="60" w:type="dxa"/>
              <w:bottom w:w="60" w:type="dxa"/>
              <w:right w:w="60" w:type="dxa"/>
            </w:tcMar>
            <w:vAlign w:val="center"/>
          </w:tcPr>
          <w:p w14:paraId="3B49DC13" w14:textId="77777777" w:rsidR="00B76533" w:rsidRDefault="00000000">
            <w:pPr>
              <w:spacing w:after="20" w:line="252" w:lineRule="auto"/>
              <w:jc w:val="left"/>
            </w:pPr>
            <w:r>
              <w:rPr>
                <w:sz w:val="18"/>
              </w:rPr>
              <w:t>Quitumbe</w:t>
            </w:r>
          </w:p>
        </w:tc>
        <w:tc>
          <w:tcPr>
            <w:tcW w:w="1080" w:type="dxa"/>
            <w:tcMar>
              <w:top w:w="60" w:type="dxa"/>
              <w:left w:w="60" w:type="dxa"/>
              <w:bottom w:w="60" w:type="dxa"/>
              <w:right w:w="60" w:type="dxa"/>
            </w:tcMar>
            <w:vAlign w:val="center"/>
          </w:tcPr>
          <w:p w14:paraId="1B8CA09E" w14:textId="77777777" w:rsidR="00B76533" w:rsidRDefault="00000000">
            <w:pPr>
              <w:spacing w:after="20" w:line="252" w:lineRule="auto"/>
              <w:jc w:val="left"/>
            </w:pPr>
            <w:r>
              <w:rPr>
                <w:sz w:val="18"/>
              </w:rPr>
              <w:t>7.67</w:t>
            </w:r>
          </w:p>
        </w:tc>
        <w:tc>
          <w:tcPr>
            <w:tcW w:w="1368" w:type="dxa"/>
            <w:tcMar>
              <w:top w:w="60" w:type="dxa"/>
              <w:left w:w="60" w:type="dxa"/>
              <w:bottom w:w="60" w:type="dxa"/>
              <w:right w:w="60" w:type="dxa"/>
            </w:tcMar>
            <w:vAlign w:val="center"/>
          </w:tcPr>
          <w:p w14:paraId="7CFA8D75" w14:textId="77777777" w:rsidR="00B76533" w:rsidRDefault="00000000">
            <w:pPr>
              <w:spacing w:after="20" w:line="252" w:lineRule="auto"/>
              <w:jc w:val="center"/>
            </w:pPr>
            <w:r>
              <w:rPr>
                <w:sz w:val="18"/>
              </w:rPr>
              <w:t>111.87</w:t>
            </w:r>
          </w:p>
        </w:tc>
        <w:tc>
          <w:tcPr>
            <w:tcW w:w="1440" w:type="dxa"/>
            <w:tcMar>
              <w:top w:w="60" w:type="dxa"/>
              <w:left w:w="60" w:type="dxa"/>
              <w:bottom w:w="60" w:type="dxa"/>
              <w:right w:w="60" w:type="dxa"/>
            </w:tcMar>
            <w:vAlign w:val="center"/>
          </w:tcPr>
          <w:p w14:paraId="3311CD52" w14:textId="77777777" w:rsidR="00B76533" w:rsidRDefault="00000000">
            <w:pPr>
              <w:spacing w:after="20" w:line="252" w:lineRule="auto"/>
              <w:jc w:val="center"/>
            </w:pPr>
            <w:r>
              <w:rPr>
                <w:sz w:val="18"/>
              </w:rPr>
              <w:t>8.58</w:t>
            </w:r>
          </w:p>
        </w:tc>
        <w:tc>
          <w:tcPr>
            <w:tcW w:w="1512" w:type="dxa"/>
            <w:tcMar>
              <w:top w:w="60" w:type="dxa"/>
              <w:left w:w="60" w:type="dxa"/>
              <w:bottom w:w="60" w:type="dxa"/>
              <w:right w:w="60" w:type="dxa"/>
            </w:tcMar>
            <w:vAlign w:val="center"/>
          </w:tcPr>
          <w:p w14:paraId="4CFE9A61" w14:textId="77777777" w:rsidR="00B76533" w:rsidRDefault="00000000">
            <w:pPr>
              <w:spacing w:after="20" w:line="252" w:lineRule="auto"/>
              <w:jc w:val="center"/>
            </w:pPr>
            <w:r>
              <w:rPr>
                <w:sz w:val="18"/>
              </w:rPr>
              <w:t>4</w:t>
            </w:r>
          </w:p>
        </w:tc>
        <w:tc>
          <w:tcPr>
            <w:tcW w:w="1296" w:type="dxa"/>
            <w:tcMar>
              <w:top w:w="60" w:type="dxa"/>
              <w:left w:w="60" w:type="dxa"/>
              <w:bottom w:w="60" w:type="dxa"/>
              <w:right w:w="60" w:type="dxa"/>
            </w:tcMar>
            <w:vAlign w:val="center"/>
          </w:tcPr>
          <w:p w14:paraId="5E75620A" w14:textId="77777777" w:rsidR="00B76533" w:rsidRDefault="00000000">
            <w:pPr>
              <w:spacing w:after="20" w:line="252" w:lineRule="auto"/>
              <w:jc w:val="center"/>
            </w:pPr>
            <w:r>
              <w:rPr>
                <w:sz w:val="18"/>
              </w:rPr>
              <w:t>6/6</w:t>
            </w:r>
          </w:p>
        </w:tc>
      </w:tr>
      <w:tr w:rsidR="00B76533" w14:paraId="40DD9F47" w14:textId="77777777">
        <w:trPr>
          <w:cantSplit/>
          <w:jc w:val="center"/>
        </w:trPr>
        <w:tc>
          <w:tcPr>
            <w:tcW w:w="2376" w:type="dxa"/>
            <w:tcMar>
              <w:top w:w="60" w:type="dxa"/>
              <w:left w:w="60" w:type="dxa"/>
              <w:bottom w:w="60" w:type="dxa"/>
              <w:right w:w="60" w:type="dxa"/>
            </w:tcMar>
            <w:vAlign w:val="center"/>
          </w:tcPr>
          <w:p w14:paraId="0345ACAA" w14:textId="77777777" w:rsidR="00B76533" w:rsidRDefault="00000000">
            <w:pPr>
              <w:spacing w:after="20" w:line="252" w:lineRule="auto"/>
              <w:jc w:val="left"/>
            </w:pPr>
            <w:r>
              <w:rPr>
                <w:sz w:val="18"/>
              </w:rPr>
              <w:t>Conocoto</w:t>
            </w:r>
          </w:p>
        </w:tc>
        <w:tc>
          <w:tcPr>
            <w:tcW w:w="1080" w:type="dxa"/>
            <w:tcMar>
              <w:top w:w="60" w:type="dxa"/>
              <w:left w:w="60" w:type="dxa"/>
              <w:bottom w:w="60" w:type="dxa"/>
              <w:right w:w="60" w:type="dxa"/>
            </w:tcMar>
            <w:vAlign w:val="center"/>
          </w:tcPr>
          <w:p w14:paraId="22FDB812" w14:textId="77777777" w:rsidR="00B76533" w:rsidRDefault="00000000">
            <w:pPr>
              <w:spacing w:after="20" w:line="252" w:lineRule="auto"/>
              <w:jc w:val="left"/>
            </w:pPr>
            <w:r>
              <w:rPr>
                <w:sz w:val="18"/>
              </w:rPr>
              <w:t>8.76</w:t>
            </w:r>
          </w:p>
        </w:tc>
        <w:tc>
          <w:tcPr>
            <w:tcW w:w="1368" w:type="dxa"/>
            <w:tcMar>
              <w:top w:w="60" w:type="dxa"/>
              <w:left w:w="60" w:type="dxa"/>
              <w:bottom w:w="60" w:type="dxa"/>
              <w:right w:w="60" w:type="dxa"/>
            </w:tcMar>
            <w:vAlign w:val="center"/>
          </w:tcPr>
          <w:p w14:paraId="7A8B5ADC" w14:textId="77777777" w:rsidR="00B76533" w:rsidRDefault="00000000">
            <w:pPr>
              <w:spacing w:after="20" w:line="252" w:lineRule="auto"/>
              <w:jc w:val="center"/>
            </w:pPr>
            <w:r>
              <w:rPr>
                <w:sz w:val="18"/>
              </w:rPr>
              <w:t>89.71</w:t>
            </w:r>
          </w:p>
        </w:tc>
        <w:tc>
          <w:tcPr>
            <w:tcW w:w="1440" w:type="dxa"/>
            <w:tcMar>
              <w:top w:w="60" w:type="dxa"/>
              <w:left w:w="60" w:type="dxa"/>
              <w:bottom w:w="60" w:type="dxa"/>
              <w:right w:w="60" w:type="dxa"/>
            </w:tcMar>
            <w:vAlign w:val="center"/>
          </w:tcPr>
          <w:p w14:paraId="4F29B656" w14:textId="77777777" w:rsidR="00B76533" w:rsidRDefault="00000000">
            <w:pPr>
              <w:spacing w:after="20" w:line="252" w:lineRule="auto"/>
              <w:jc w:val="center"/>
            </w:pPr>
            <w:r>
              <w:rPr>
                <w:sz w:val="18"/>
              </w:rPr>
              <w:t>7.86</w:t>
            </w:r>
          </w:p>
        </w:tc>
        <w:tc>
          <w:tcPr>
            <w:tcW w:w="1512" w:type="dxa"/>
            <w:tcMar>
              <w:top w:w="60" w:type="dxa"/>
              <w:left w:w="60" w:type="dxa"/>
              <w:bottom w:w="60" w:type="dxa"/>
              <w:right w:w="60" w:type="dxa"/>
            </w:tcMar>
            <w:vAlign w:val="center"/>
          </w:tcPr>
          <w:p w14:paraId="0E44EA38" w14:textId="77777777" w:rsidR="00B76533" w:rsidRDefault="00000000">
            <w:pPr>
              <w:spacing w:after="20" w:line="252" w:lineRule="auto"/>
              <w:jc w:val="center"/>
            </w:pPr>
            <w:r>
              <w:rPr>
                <w:sz w:val="18"/>
              </w:rPr>
              <w:t>6</w:t>
            </w:r>
          </w:p>
        </w:tc>
        <w:tc>
          <w:tcPr>
            <w:tcW w:w="1296" w:type="dxa"/>
            <w:tcMar>
              <w:top w:w="60" w:type="dxa"/>
              <w:left w:w="60" w:type="dxa"/>
              <w:bottom w:w="60" w:type="dxa"/>
              <w:right w:w="60" w:type="dxa"/>
            </w:tcMar>
            <w:vAlign w:val="center"/>
          </w:tcPr>
          <w:p w14:paraId="04DA2C2E" w14:textId="77777777" w:rsidR="00B76533" w:rsidRDefault="00000000">
            <w:pPr>
              <w:spacing w:after="20" w:line="252" w:lineRule="auto"/>
              <w:jc w:val="center"/>
            </w:pPr>
            <w:r>
              <w:rPr>
                <w:sz w:val="18"/>
              </w:rPr>
              <w:t>6/6</w:t>
            </w:r>
          </w:p>
        </w:tc>
      </w:tr>
      <w:tr w:rsidR="00B76533" w14:paraId="3D5A9643" w14:textId="77777777">
        <w:trPr>
          <w:cantSplit/>
          <w:jc w:val="center"/>
        </w:trPr>
        <w:tc>
          <w:tcPr>
            <w:tcW w:w="2376" w:type="dxa"/>
            <w:tcMar>
              <w:top w:w="60" w:type="dxa"/>
              <w:left w:w="60" w:type="dxa"/>
              <w:bottom w:w="60" w:type="dxa"/>
              <w:right w:w="60" w:type="dxa"/>
            </w:tcMar>
            <w:vAlign w:val="center"/>
          </w:tcPr>
          <w:p w14:paraId="113433F9" w14:textId="77777777" w:rsidR="00B76533" w:rsidRDefault="00000000">
            <w:pPr>
              <w:spacing w:after="20" w:line="252" w:lineRule="auto"/>
              <w:jc w:val="left"/>
            </w:pPr>
            <w:r>
              <w:rPr>
                <w:sz w:val="18"/>
              </w:rPr>
              <w:t>Chillogallo</w:t>
            </w:r>
          </w:p>
        </w:tc>
        <w:tc>
          <w:tcPr>
            <w:tcW w:w="1080" w:type="dxa"/>
            <w:tcMar>
              <w:top w:w="60" w:type="dxa"/>
              <w:left w:w="60" w:type="dxa"/>
              <w:bottom w:w="60" w:type="dxa"/>
              <w:right w:w="60" w:type="dxa"/>
            </w:tcMar>
            <w:vAlign w:val="center"/>
          </w:tcPr>
          <w:p w14:paraId="1ABA8E62" w14:textId="77777777" w:rsidR="00B76533" w:rsidRDefault="00000000">
            <w:pPr>
              <w:spacing w:after="20" w:line="252" w:lineRule="auto"/>
              <w:jc w:val="left"/>
            </w:pPr>
            <w:r>
              <w:rPr>
                <w:sz w:val="18"/>
              </w:rPr>
              <w:t>13.02</w:t>
            </w:r>
          </w:p>
        </w:tc>
        <w:tc>
          <w:tcPr>
            <w:tcW w:w="1368" w:type="dxa"/>
            <w:tcMar>
              <w:top w:w="60" w:type="dxa"/>
              <w:left w:w="60" w:type="dxa"/>
              <w:bottom w:w="60" w:type="dxa"/>
              <w:right w:w="60" w:type="dxa"/>
            </w:tcMar>
            <w:vAlign w:val="center"/>
          </w:tcPr>
          <w:p w14:paraId="01F4FE8D" w14:textId="77777777" w:rsidR="00B76533" w:rsidRDefault="00000000">
            <w:pPr>
              <w:spacing w:after="20" w:line="252" w:lineRule="auto"/>
              <w:jc w:val="center"/>
            </w:pPr>
            <w:r>
              <w:rPr>
                <w:sz w:val="18"/>
              </w:rPr>
              <w:t>48.15</w:t>
            </w:r>
          </w:p>
        </w:tc>
        <w:tc>
          <w:tcPr>
            <w:tcW w:w="1440" w:type="dxa"/>
            <w:tcMar>
              <w:top w:w="60" w:type="dxa"/>
              <w:left w:w="60" w:type="dxa"/>
              <w:bottom w:w="60" w:type="dxa"/>
              <w:right w:w="60" w:type="dxa"/>
            </w:tcMar>
            <w:vAlign w:val="center"/>
          </w:tcPr>
          <w:p w14:paraId="2ED61C80" w14:textId="77777777" w:rsidR="00B76533" w:rsidRDefault="00000000">
            <w:pPr>
              <w:spacing w:after="20" w:line="252" w:lineRule="auto"/>
              <w:jc w:val="center"/>
            </w:pPr>
            <w:r>
              <w:rPr>
                <w:sz w:val="18"/>
              </w:rPr>
              <w:t>6.27</w:t>
            </w:r>
          </w:p>
        </w:tc>
        <w:tc>
          <w:tcPr>
            <w:tcW w:w="1512" w:type="dxa"/>
            <w:tcMar>
              <w:top w:w="60" w:type="dxa"/>
              <w:left w:w="60" w:type="dxa"/>
              <w:bottom w:w="60" w:type="dxa"/>
              <w:right w:w="60" w:type="dxa"/>
            </w:tcMar>
            <w:vAlign w:val="center"/>
          </w:tcPr>
          <w:p w14:paraId="67101398" w14:textId="77777777" w:rsidR="00B76533" w:rsidRDefault="00000000">
            <w:pPr>
              <w:spacing w:after="20" w:line="252" w:lineRule="auto"/>
              <w:jc w:val="center"/>
            </w:pPr>
            <w:r>
              <w:rPr>
                <w:sz w:val="18"/>
              </w:rPr>
              <w:t>9</w:t>
            </w:r>
          </w:p>
        </w:tc>
        <w:tc>
          <w:tcPr>
            <w:tcW w:w="1296" w:type="dxa"/>
            <w:tcMar>
              <w:top w:w="60" w:type="dxa"/>
              <w:left w:w="60" w:type="dxa"/>
              <w:bottom w:w="60" w:type="dxa"/>
              <w:right w:w="60" w:type="dxa"/>
            </w:tcMar>
            <w:vAlign w:val="center"/>
          </w:tcPr>
          <w:p w14:paraId="6ECCAECB" w14:textId="77777777" w:rsidR="00B76533" w:rsidRDefault="00000000">
            <w:pPr>
              <w:spacing w:after="20" w:line="252" w:lineRule="auto"/>
              <w:jc w:val="center"/>
            </w:pPr>
            <w:r>
              <w:rPr>
                <w:sz w:val="18"/>
              </w:rPr>
              <w:t>4/6</w:t>
            </w:r>
          </w:p>
        </w:tc>
      </w:tr>
      <w:tr w:rsidR="00B76533" w14:paraId="7C60D37D" w14:textId="77777777">
        <w:trPr>
          <w:cantSplit/>
          <w:jc w:val="center"/>
        </w:trPr>
        <w:tc>
          <w:tcPr>
            <w:tcW w:w="2376" w:type="dxa"/>
            <w:tcMar>
              <w:top w:w="60" w:type="dxa"/>
              <w:left w:w="60" w:type="dxa"/>
              <w:bottom w:w="60" w:type="dxa"/>
              <w:right w:w="60" w:type="dxa"/>
            </w:tcMar>
            <w:vAlign w:val="center"/>
          </w:tcPr>
          <w:p w14:paraId="57434D33" w14:textId="77777777" w:rsidR="00B76533" w:rsidRDefault="00000000">
            <w:pPr>
              <w:spacing w:after="20" w:line="252" w:lineRule="auto"/>
              <w:jc w:val="left"/>
            </w:pPr>
            <w:r>
              <w:rPr>
                <w:sz w:val="18"/>
              </w:rPr>
              <w:t>San Antonio</w:t>
            </w:r>
          </w:p>
        </w:tc>
        <w:tc>
          <w:tcPr>
            <w:tcW w:w="1080" w:type="dxa"/>
            <w:tcMar>
              <w:top w:w="60" w:type="dxa"/>
              <w:left w:w="60" w:type="dxa"/>
              <w:bottom w:w="60" w:type="dxa"/>
              <w:right w:w="60" w:type="dxa"/>
            </w:tcMar>
            <w:vAlign w:val="center"/>
          </w:tcPr>
          <w:p w14:paraId="4BF57498" w14:textId="77777777" w:rsidR="00B76533" w:rsidRDefault="00000000">
            <w:pPr>
              <w:spacing w:after="20" w:line="252" w:lineRule="auto"/>
              <w:jc w:val="left"/>
            </w:pPr>
            <w:r>
              <w:rPr>
                <w:sz w:val="18"/>
              </w:rPr>
              <w:t>13.26</w:t>
            </w:r>
          </w:p>
        </w:tc>
        <w:tc>
          <w:tcPr>
            <w:tcW w:w="1368" w:type="dxa"/>
            <w:tcMar>
              <w:top w:w="60" w:type="dxa"/>
              <w:left w:w="60" w:type="dxa"/>
              <w:bottom w:w="60" w:type="dxa"/>
              <w:right w:w="60" w:type="dxa"/>
            </w:tcMar>
            <w:vAlign w:val="center"/>
          </w:tcPr>
          <w:p w14:paraId="2286C79C" w14:textId="77777777" w:rsidR="00B76533" w:rsidRDefault="00000000">
            <w:pPr>
              <w:spacing w:after="20" w:line="252" w:lineRule="auto"/>
              <w:jc w:val="center"/>
            </w:pPr>
            <w:r>
              <w:rPr>
                <w:sz w:val="18"/>
              </w:rPr>
              <w:t>44.03</w:t>
            </w:r>
          </w:p>
        </w:tc>
        <w:tc>
          <w:tcPr>
            <w:tcW w:w="1440" w:type="dxa"/>
            <w:tcMar>
              <w:top w:w="60" w:type="dxa"/>
              <w:left w:w="60" w:type="dxa"/>
              <w:bottom w:w="60" w:type="dxa"/>
              <w:right w:w="60" w:type="dxa"/>
            </w:tcMar>
            <w:vAlign w:val="center"/>
          </w:tcPr>
          <w:p w14:paraId="27A45DBA" w14:textId="77777777" w:rsidR="00B76533" w:rsidRDefault="00000000">
            <w:pPr>
              <w:spacing w:after="20" w:line="252" w:lineRule="auto"/>
              <w:jc w:val="center"/>
            </w:pPr>
            <w:r>
              <w:rPr>
                <w:sz w:val="18"/>
              </w:rPr>
              <w:t>5.84</w:t>
            </w:r>
          </w:p>
        </w:tc>
        <w:tc>
          <w:tcPr>
            <w:tcW w:w="1512" w:type="dxa"/>
            <w:tcMar>
              <w:top w:w="60" w:type="dxa"/>
              <w:left w:w="60" w:type="dxa"/>
              <w:bottom w:w="60" w:type="dxa"/>
              <w:right w:w="60" w:type="dxa"/>
            </w:tcMar>
            <w:vAlign w:val="center"/>
          </w:tcPr>
          <w:p w14:paraId="67AC68EE" w14:textId="77777777" w:rsidR="00B76533" w:rsidRDefault="00000000">
            <w:pPr>
              <w:spacing w:after="20" w:line="252" w:lineRule="auto"/>
              <w:jc w:val="center"/>
            </w:pPr>
            <w:r>
              <w:rPr>
                <w:sz w:val="18"/>
              </w:rPr>
              <w:t>10</w:t>
            </w:r>
          </w:p>
        </w:tc>
        <w:tc>
          <w:tcPr>
            <w:tcW w:w="1296" w:type="dxa"/>
            <w:tcMar>
              <w:top w:w="60" w:type="dxa"/>
              <w:left w:w="60" w:type="dxa"/>
              <w:bottom w:w="60" w:type="dxa"/>
              <w:right w:w="60" w:type="dxa"/>
            </w:tcMar>
            <w:vAlign w:val="center"/>
          </w:tcPr>
          <w:p w14:paraId="5C4273C9" w14:textId="77777777" w:rsidR="00B76533" w:rsidRDefault="00000000">
            <w:pPr>
              <w:spacing w:after="20" w:line="252" w:lineRule="auto"/>
              <w:jc w:val="center"/>
            </w:pPr>
            <w:r>
              <w:rPr>
                <w:sz w:val="18"/>
              </w:rPr>
              <w:t>6/6</w:t>
            </w:r>
          </w:p>
        </w:tc>
      </w:tr>
      <w:tr w:rsidR="00B76533" w14:paraId="651FC861" w14:textId="77777777">
        <w:trPr>
          <w:cantSplit/>
          <w:jc w:val="center"/>
        </w:trPr>
        <w:tc>
          <w:tcPr>
            <w:tcW w:w="2376" w:type="dxa"/>
            <w:tcMar>
              <w:top w:w="60" w:type="dxa"/>
              <w:left w:w="60" w:type="dxa"/>
              <w:bottom w:w="60" w:type="dxa"/>
              <w:right w:w="60" w:type="dxa"/>
            </w:tcMar>
            <w:vAlign w:val="center"/>
          </w:tcPr>
          <w:p w14:paraId="299E4AB6" w14:textId="77777777" w:rsidR="00B76533" w:rsidRDefault="00000000">
            <w:pPr>
              <w:spacing w:after="20" w:line="252" w:lineRule="auto"/>
              <w:jc w:val="left"/>
            </w:pPr>
            <w:r>
              <w:rPr>
                <w:sz w:val="18"/>
              </w:rPr>
              <w:t>Solanda</w:t>
            </w:r>
          </w:p>
        </w:tc>
        <w:tc>
          <w:tcPr>
            <w:tcW w:w="1080" w:type="dxa"/>
            <w:tcMar>
              <w:top w:w="60" w:type="dxa"/>
              <w:left w:w="60" w:type="dxa"/>
              <w:bottom w:w="60" w:type="dxa"/>
              <w:right w:w="60" w:type="dxa"/>
            </w:tcMar>
            <w:vAlign w:val="center"/>
          </w:tcPr>
          <w:p w14:paraId="38A4FBF6" w14:textId="77777777" w:rsidR="00B76533" w:rsidRDefault="00000000">
            <w:pPr>
              <w:spacing w:after="20" w:line="252" w:lineRule="auto"/>
              <w:jc w:val="left"/>
            </w:pPr>
            <w:r>
              <w:rPr>
                <w:sz w:val="18"/>
              </w:rPr>
              <w:t>6.32</w:t>
            </w:r>
          </w:p>
        </w:tc>
        <w:tc>
          <w:tcPr>
            <w:tcW w:w="1368" w:type="dxa"/>
            <w:tcMar>
              <w:top w:w="60" w:type="dxa"/>
              <w:left w:w="60" w:type="dxa"/>
              <w:bottom w:w="60" w:type="dxa"/>
              <w:right w:w="60" w:type="dxa"/>
            </w:tcMar>
            <w:vAlign w:val="center"/>
          </w:tcPr>
          <w:p w14:paraId="2C62F006" w14:textId="77777777" w:rsidR="00B76533" w:rsidRDefault="00000000">
            <w:pPr>
              <w:spacing w:after="20" w:line="252" w:lineRule="auto"/>
              <w:jc w:val="center"/>
            </w:pPr>
            <w:r>
              <w:rPr>
                <w:sz w:val="18"/>
              </w:rPr>
              <w:t>67.75</w:t>
            </w:r>
          </w:p>
        </w:tc>
        <w:tc>
          <w:tcPr>
            <w:tcW w:w="1440" w:type="dxa"/>
            <w:tcMar>
              <w:top w:w="60" w:type="dxa"/>
              <w:left w:w="60" w:type="dxa"/>
              <w:bottom w:w="60" w:type="dxa"/>
              <w:right w:w="60" w:type="dxa"/>
            </w:tcMar>
            <w:vAlign w:val="center"/>
          </w:tcPr>
          <w:p w14:paraId="6A9EDFFB" w14:textId="77777777" w:rsidR="00B76533" w:rsidRDefault="00000000">
            <w:pPr>
              <w:spacing w:after="20" w:line="252" w:lineRule="auto"/>
              <w:jc w:val="center"/>
            </w:pPr>
            <w:r>
              <w:rPr>
                <w:sz w:val="18"/>
              </w:rPr>
              <w:t>4.28</w:t>
            </w:r>
          </w:p>
        </w:tc>
        <w:tc>
          <w:tcPr>
            <w:tcW w:w="1512" w:type="dxa"/>
            <w:tcMar>
              <w:top w:w="60" w:type="dxa"/>
              <w:left w:w="60" w:type="dxa"/>
              <w:bottom w:w="60" w:type="dxa"/>
              <w:right w:w="60" w:type="dxa"/>
            </w:tcMar>
            <w:vAlign w:val="center"/>
          </w:tcPr>
          <w:p w14:paraId="6C039D29" w14:textId="77777777" w:rsidR="00B76533" w:rsidRDefault="00000000">
            <w:pPr>
              <w:spacing w:after="20" w:line="252" w:lineRule="auto"/>
              <w:jc w:val="center"/>
            </w:pPr>
            <w:r>
              <w:rPr>
                <w:sz w:val="18"/>
              </w:rPr>
              <w:t>7</w:t>
            </w:r>
          </w:p>
        </w:tc>
        <w:tc>
          <w:tcPr>
            <w:tcW w:w="1296" w:type="dxa"/>
            <w:tcMar>
              <w:top w:w="60" w:type="dxa"/>
              <w:left w:w="60" w:type="dxa"/>
              <w:bottom w:w="60" w:type="dxa"/>
              <w:right w:w="60" w:type="dxa"/>
            </w:tcMar>
            <w:vAlign w:val="center"/>
          </w:tcPr>
          <w:p w14:paraId="61B12D32" w14:textId="77777777" w:rsidR="00B76533" w:rsidRDefault="00000000">
            <w:pPr>
              <w:spacing w:after="20" w:line="252" w:lineRule="auto"/>
              <w:jc w:val="center"/>
            </w:pPr>
            <w:r>
              <w:rPr>
                <w:sz w:val="18"/>
              </w:rPr>
              <w:t>4/6</w:t>
            </w:r>
          </w:p>
        </w:tc>
      </w:tr>
      <w:tr w:rsidR="00B76533" w14:paraId="11C3C180" w14:textId="77777777">
        <w:trPr>
          <w:cantSplit/>
          <w:jc w:val="center"/>
        </w:trPr>
        <w:tc>
          <w:tcPr>
            <w:tcW w:w="2376" w:type="dxa"/>
            <w:tcMar>
              <w:top w:w="60" w:type="dxa"/>
              <w:left w:w="60" w:type="dxa"/>
              <w:bottom w:w="60" w:type="dxa"/>
              <w:right w:w="60" w:type="dxa"/>
            </w:tcMar>
            <w:vAlign w:val="center"/>
          </w:tcPr>
          <w:p w14:paraId="0F571CB0" w14:textId="77777777" w:rsidR="00B76533" w:rsidRDefault="00000000">
            <w:pPr>
              <w:spacing w:after="20" w:line="252" w:lineRule="auto"/>
              <w:jc w:val="left"/>
            </w:pPr>
            <w:r>
              <w:rPr>
                <w:sz w:val="18"/>
              </w:rPr>
              <w:t>Tumbaco</w:t>
            </w:r>
          </w:p>
        </w:tc>
        <w:tc>
          <w:tcPr>
            <w:tcW w:w="1080" w:type="dxa"/>
            <w:tcMar>
              <w:top w:w="60" w:type="dxa"/>
              <w:left w:w="60" w:type="dxa"/>
              <w:bottom w:w="60" w:type="dxa"/>
              <w:right w:w="60" w:type="dxa"/>
            </w:tcMar>
            <w:vAlign w:val="center"/>
          </w:tcPr>
          <w:p w14:paraId="1BF4518C" w14:textId="77777777" w:rsidR="00B76533" w:rsidRDefault="00000000">
            <w:pPr>
              <w:spacing w:after="20" w:line="252" w:lineRule="auto"/>
              <w:jc w:val="left"/>
            </w:pPr>
            <w:r>
              <w:rPr>
                <w:sz w:val="18"/>
              </w:rPr>
              <w:t>15.55</w:t>
            </w:r>
          </w:p>
        </w:tc>
        <w:tc>
          <w:tcPr>
            <w:tcW w:w="1368" w:type="dxa"/>
            <w:tcMar>
              <w:top w:w="60" w:type="dxa"/>
              <w:left w:w="60" w:type="dxa"/>
              <w:bottom w:w="60" w:type="dxa"/>
              <w:right w:w="60" w:type="dxa"/>
            </w:tcMar>
            <w:vAlign w:val="center"/>
          </w:tcPr>
          <w:p w14:paraId="06E937E3" w14:textId="77777777" w:rsidR="00B76533" w:rsidRDefault="00000000">
            <w:pPr>
              <w:spacing w:after="20" w:line="252" w:lineRule="auto"/>
              <w:jc w:val="center"/>
            </w:pPr>
            <w:r>
              <w:rPr>
                <w:sz w:val="18"/>
              </w:rPr>
              <w:t>24.21</w:t>
            </w:r>
          </w:p>
        </w:tc>
        <w:tc>
          <w:tcPr>
            <w:tcW w:w="1440" w:type="dxa"/>
            <w:tcMar>
              <w:top w:w="60" w:type="dxa"/>
              <w:left w:w="60" w:type="dxa"/>
              <w:bottom w:w="60" w:type="dxa"/>
              <w:right w:w="60" w:type="dxa"/>
            </w:tcMar>
            <w:vAlign w:val="center"/>
          </w:tcPr>
          <w:p w14:paraId="3C11B2A4" w14:textId="77777777" w:rsidR="00B76533" w:rsidRDefault="00000000">
            <w:pPr>
              <w:spacing w:after="20" w:line="252" w:lineRule="auto"/>
              <w:jc w:val="center"/>
            </w:pPr>
            <w:r>
              <w:rPr>
                <w:sz w:val="18"/>
              </w:rPr>
              <w:t>3.76</w:t>
            </w:r>
          </w:p>
        </w:tc>
        <w:tc>
          <w:tcPr>
            <w:tcW w:w="1512" w:type="dxa"/>
            <w:tcMar>
              <w:top w:w="60" w:type="dxa"/>
              <w:left w:w="60" w:type="dxa"/>
              <w:bottom w:w="60" w:type="dxa"/>
              <w:right w:w="60" w:type="dxa"/>
            </w:tcMar>
            <w:vAlign w:val="center"/>
          </w:tcPr>
          <w:p w14:paraId="0DFF19BE" w14:textId="77777777" w:rsidR="00B76533" w:rsidRDefault="00000000">
            <w:pPr>
              <w:spacing w:after="20" w:line="252" w:lineRule="auto"/>
              <w:jc w:val="center"/>
            </w:pPr>
            <w:r>
              <w:rPr>
                <w:sz w:val="18"/>
              </w:rPr>
              <w:t>22</w:t>
            </w:r>
          </w:p>
        </w:tc>
        <w:tc>
          <w:tcPr>
            <w:tcW w:w="1296" w:type="dxa"/>
            <w:tcMar>
              <w:top w:w="60" w:type="dxa"/>
              <w:left w:w="60" w:type="dxa"/>
              <w:bottom w:w="60" w:type="dxa"/>
              <w:right w:w="60" w:type="dxa"/>
            </w:tcMar>
            <w:vAlign w:val="center"/>
          </w:tcPr>
          <w:p w14:paraId="0E8B518A" w14:textId="77777777" w:rsidR="00B76533" w:rsidRDefault="00000000">
            <w:pPr>
              <w:spacing w:after="20" w:line="252" w:lineRule="auto"/>
              <w:jc w:val="center"/>
            </w:pPr>
            <w:r>
              <w:rPr>
                <w:sz w:val="18"/>
              </w:rPr>
              <w:t>4/6</w:t>
            </w:r>
          </w:p>
        </w:tc>
      </w:tr>
      <w:tr w:rsidR="00B76533" w14:paraId="397D86F5" w14:textId="77777777">
        <w:trPr>
          <w:cantSplit/>
          <w:jc w:val="center"/>
        </w:trPr>
        <w:tc>
          <w:tcPr>
            <w:tcW w:w="2376" w:type="dxa"/>
            <w:tcMar>
              <w:top w:w="60" w:type="dxa"/>
              <w:left w:w="60" w:type="dxa"/>
              <w:bottom w:w="60" w:type="dxa"/>
              <w:right w:w="60" w:type="dxa"/>
            </w:tcMar>
            <w:vAlign w:val="center"/>
          </w:tcPr>
          <w:p w14:paraId="1DE2FEFA" w14:textId="77777777" w:rsidR="00B76533" w:rsidRDefault="00000000">
            <w:pPr>
              <w:spacing w:after="20" w:line="252" w:lineRule="auto"/>
              <w:jc w:val="left"/>
            </w:pPr>
            <w:r>
              <w:rPr>
                <w:sz w:val="18"/>
              </w:rPr>
              <w:t>San Bartolo</w:t>
            </w:r>
          </w:p>
        </w:tc>
        <w:tc>
          <w:tcPr>
            <w:tcW w:w="1080" w:type="dxa"/>
            <w:tcMar>
              <w:top w:w="60" w:type="dxa"/>
              <w:left w:w="60" w:type="dxa"/>
              <w:bottom w:w="60" w:type="dxa"/>
              <w:right w:w="60" w:type="dxa"/>
            </w:tcMar>
            <w:vAlign w:val="center"/>
          </w:tcPr>
          <w:p w14:paraId="285C8E7E" w14:textId="77777777" w:rsidR="00B76533" w:rsidRDefault="00000000">
            <w:pPr>
              <w:spacing w:after="20" w:line="252" w:lineRule="auto"/>
              <w:jc w:val="left"/>
            </w:pPr>
            <w:r>
              <w:rPr>
                <w:sz w:val="18"/>
              </w:rPr>
              <w:t>6.25</w:t>
            </w:r>
          </w:p>
        </w:tc>
        <w:tc>
          <w:tcPr>
            <w:tcW w:w="1368" w:type="dxa"/>
            <w:tcMar>
              <w:top w:w="60" w:type="dxa"/>
              <w:left w:w="60" w:type="dxa"/>
              <w:bottom w:w="60" w:type="dxa"/>
              <w:right w:w="60" w:type="dxa"/>
            </w:tcMar>
            <w:vAlign w:val="center"/>
          </w:tcPr>
          <w:p w14:paraId="01D3512B" w14:textId="77777777" w:rsidR="00B76533" w:rsidRDefault="00000000">
            <w:pPr>
              <w:spacing w:after="20" w:line="252" w:lineRule="auto"/>
              <w:jc w:val="center"/>
            </w:pPr>
            <w:r>
              <w:rPr>
                <w:sz w:val="18"/>
              </w:rPr>
              <w:t>56.85</w:t>
            </w:r>
          </w:p>
        </w:tc>
        <w:tc>
          <w:tcPr>
            <w:tcW w:w="1440" w:type="dxa"/>
            <w:tcMar>
              <w:top w:w="60" w:type="dxa"/>
              <w:left w:w="60" w:type="dxa"/>
              <w:bottom w:w="60" w:type="dxa"/>
              <w:right w:w="60" w:type="dxa"/>
            </w:tcMar>
            <w:vAlign w:val="center"/>
          </w:tcPr>
          <w:p w14:paraId="22DD867C" w14:textId="77777777" w:rsidR="00B76533" w:rsidRDefault="00000000">
            <w:pPr>
              <w:spacing w:after="20" w:line="252" w:lineRule="auto"/>
              <w:jc w:val="center"/>
            </w:pPr>
            <w:r>
              <w:rPr>
                <w:sz w:val="18"/>
              </w:rPr>
              <w:t>3.55</w:t>
            </w:r>
          </w:p>
        </w:tc>
        <w:tc>
          <w:tcPr>
            <w:tcW w:w="1512" w:type="dxa"/>
            <w:tcMar>
              <w:top w:w="60" w:type="dxa"/>
              <w:left w:w="60" w:type="dxa"/>
              <w:bottom w:w="60" w:type="dxa"/>
              <w:right w:w="60" w:type="dxa"/>
            </w:tcMar>
            <w:vAlign w:val="center"/>
          </w:tcPr>
          <w:p w14:paraId="277D0ECE" w14:textId="77777777" w:rsidR="00B76533" w:rsidRDefault="00000000">
            <w:pPr>
              <w:spacing w:after="20" w:line="252" w:lineRule="auto"/>
              <w:jc w:val="center"/>
            </w:pPr>
            <w:r>
              <w:rPr>
                <w:sz w:val="18"/>
              </w:rPr>
              <w:t>8</w:t>
            </w:r>
          </w:p>
        </w:tc>
        <w:tc>
          <w:tcPr>
            <w:tcW w:w="1296" w:type="dxa"/>
            <w:tcMar>
              <w:top w:w="60" w:type="dxa"/>
              <w:left w:w="60" w:type="dxa"/>
              <w:bottom w:w="60" w:type="dxa"/>
              <w:right w:w="60" w:type="dxa"/>
            </w:tcMar>
            <w:vAlign w:val="center"/>
          </w:tcPr>
          <w:p w14:paraId="03ADB175" w14:textId="77777777" w:rsidR="00B76533" w:rsidRDefault="00000000">
            <w:pPr>
              <w:spacing w:after="20" w:line="252" w:lineRule="auto"/>
              <w:jc w:val="center"/>
            </w:pPr>
            <w:r>
              <w:rPr>
                <w:sz w:val="18"/>
              </w:rPr>
              <w:t>2/6</w:t>
            </w:r>
          </w:p>
        </w:tc>
      </w:tr>
      <w:tr w:rsidR="00B76533" w14:paraId="145AA213" w14:textId="77777777">
        <w:trPr>
          <w:cantSplit/>
          <w:jc w:val="center"/>
        </w:trPr>
        <w:tc>
          <w:tcPr>
            <w:tcW w:w="2376" w:type="dxa"/>
            <w:tcMar>
              <w:top w:w="60" w:type="dxa"/>
              <w:left w:w="60" w:type="dxa"/>
              <w:bottom w:w="60" w:type="dxa"/>
              <w:right w:w="60" w:type="dxa"/>
            </w:tcMar>
            <w:vAlign w:val="center"/>
          </w:tcPr>
          <w:p w14:paraId="1FAF3A59" w14:textId="77777777" w:rsidR="00B76533" w:rsidRDefault="00000000">
            <w:pPr>
              <w:keepNext/>
              <w:spacing w:after="20" w:line="252" w:lineRule="auto"/>
              <w:jc w:val="left"/>
            </w:pPr>
            <w:r>
              <w:rPr>
                <w:sz w:val="18"/>
              </w:rPr>
              <w:lastRenderedPageBreak/>
              <w:t>Pomasqui</w:t>
            </w:r>
          </w:p>
        </w:tc>
        <w:tc>
          <w:tcPr>
            <w:tcW w:w="1080" w:type="dxa"/>
            <w:tcMar>
              <w:top w:w="60" w:type="dxa"/>
              <w:left w:w="60" w:type="dxa"/>
              <w:bottom w:w="60" w:type="dxa"/>
              <w:right w:w="60" w:type="dxa"/>
            </w:tcMar>
            <w:vAlign w:val="center"/>
          </w:tcPr>
          <w:p w14:paraId="205E3DE7" w14:textId="77777777" w:rsidR="00B76533" w:rsidRDefault="00000000">
            <w:pPr>
              <w:keepNext/>
              <w:spacing w:after="20" w:line="252" w:lineRule="auto"/>
              <w:jc w:val="left"/>
            </w:pPr>
            <w:r>
              <w:rPr>
                <w:sz w:val="18"/>
              </w:rPr>
              <w:t>12.89</w:t>
            </w:r>
          </w:p>
        </w:tc>
        <w:tc>
          <w:tcPr>
            <w:tcW w:w="1368" w:type="dxa"/>
            <w:tcMar>
              <w:top w:w="60" w:type="dxa"/>
              <w:left w:w="60" w:type="dxa"/>
              <w:bottom w:w="60" w:type="dxa"/>
              <w:right w:w="60" w:type="dxa"/>
            </w:tcMar>
            <w:vAlign w:val="center"/>
          </w:tcPr>
          <w:p w14:paraId="5A798B07" w14:textId="77777777" w:rsidR="00B76533" w:rsidRDefault="00000000">
            <w:pPr>
              <w:keepNext/>
              <w:spacing w:after="20" w:line="252" w:lineRule="auto"/>
              <w:jc w:val="center"/>
            </w:pPr>
            <w:r>
              <w:rPr>
                <w:sz w:val="18"/>
              </w:rPr>
              <w:t>26.37</w:t>
            </w:r>
          </w:p>
        </w:tc>
        <w:tc>
          <w:tcPr>
            <w:tcW w:w="1440" w:type="dxa"/>
            <w:tcMar>
              <w:top w:w="60" w:type="dxa"/>
              <w:left w:w="60" w:type="dxa"/>
              <w:bottom w:w="60" w:type="dxa"/>
              <w:right w:w="60" w:type="dxa"/>
            </w:tcMar>
            <w:vAlign w:val="center"/>
          </w:tcPr>
          <w:p w14:paraId="03D769A8" w14:textId="77777777" w:rsidR="00B76533" w:rsidRDefault="00000000">
            <w:pPr>
              <w:keepNext/>
              <w:spacing w:after="20" w:line="252" w:lineRule="auto"/>
              <w:jc w:val="center"/>
            </w:pPr>
            <w:r>
              <w:rPr>
                <w:sz w:val="18"/>
              </w:rPr>
              <w:t>3.40</w:t>
            </w:r>
          </w:p>
        </w:tc>
        <w:tc>
          <w:tcPr>
            <w:tcW w:w="1512" w:type="dxa"/>
            <w:tcMar>
              <w:top w:w="60" w:type="dxa"/>
              <w:left w:w="60" w:type="dxa"/>
              <w:bottom w:w="60" w:type="dxa"/>
              <w:right w:w="60" w:type="dxa"/>
            </w:tcMar>
            <w:vAlign w:val="center"/>
          </w:tcPr>
          <w:p w14:paraId="79FD0AE6" w14:textId="77777777" w:rsidR="00B76533" w:rsidRDefault="00000000">
            <w:pPr>
              <w:keepNext/>
              <w:spacing w:after="20" w:line="252" w:lineRule="auto"/>
              <w:jc w:val="center"/>
            </w:pPr>
            <w:r>
              <w:rPr>
                <w:sz w:val="18"/>
              </w:rPr>
              <w:t>19</w:t>
            </w:r>
          </w:p>
        </w:tc>
        <w:tc>
          <w:tcPr>
            <w:tcW w:w="1296" w:type="dxa"/>
            <w:tcMar>
              <w:top w:w="60" w:type="dxa"/>
              <w:left w:w="60" w:type="dxa"/>
              <w:bottom w:w="60" w:type="dxa"/>
              <w:right w:w="60" w:type="dxa"/>
            </w:tcMar>
            <w:vAlign w:val="center"/>
          </w:tcPr>
          <w:p w14:paraId="7B981495" w14:textId="77777777" w:rsidR="00B76533" w:rsidRDefault="00000000">
            <w:pPr>
              <w:keepNext/>
              <w:spacing w:after="20" w:line="252" w:lineRule="auto"/>
              <w:jc w:val="center"/>
            </w:pPr>
            <w:r>
              <w:rPr>
                <w:sz w:val="18"/>
              </w:rPr>
              <w:t>6/6</w:t>
            </w:r>
          </w:p>
        </w:tc>
      </w:tr>
    </w:tbl>
    <w:p w14:paraId="740875CF" w14:textId="77777777" w:rsidR="00B76533" w:rsidRDefault="00000000">
      <w:pPr>
        <w:spacing w:before="100"/>
      </w:pPr>
      <w:r>
        <w:rPr>
          <w:sz w:val="18"/>
        </w:rPr>
        <w:t>Fuente: integración territorial. Elaboración propia. NBI: porcentaje de hogares con NBI. Filas ordenadas por índice NBI. H: área susceptible ponderada por probabilidad húmeda; pond.: ponderadas. Acuerdo: selección entre dos modelos territoriales y tres meteorológicos. El índice no cuenta personas ni el acuerdo constituye una probabilidad de daño.</w:t>
      </w:r>
    </w:p>
    <w:p w14:paraId="039C8E46" w14:textId="77777777" w:rsidR="00B76533" w:rsidRDefault="00000000">
      <w:pPr>
        <w:pStyle w:val="Ttulo2"/>
      </w:pPr>
      <w:r>
        <w:t>3.2 Objetivos sociales alternativos</w:t>
      </w:r>
    </w:p>
    <w:p w14:paraId="280AC183" w14:textId="77777777" w:rsidR="00B76533" w:rsidRDefault="00000000">
      <w:r>
        <w:t>La magnitud del cambio depende de la necesidad social que se prioriza (tabla 4). El saneamiento produce la mayor redistribución: conserva ocho de las 13 parroquias e incorpora cinco (El Condado, Alangasí, Llano Chico, Pomasqui y Tumbaco; Jaccard de 0.444). El agua incorpora dos (Pomasqui y Tumbaco) y el hacinamiento dos (Centro Histórico y El Condado). El NBI extremo conserva diez e incorpora tres (Tumbaco, Centro Histórico y El Condado, en lugar de San Bartolo, Iñaquito y Kennedy; Jaccard de 0.625). Mantener los objetivos separados permite reconocer que atienden necesidades distintas y evita sumar indicadores con denominadores y componentes superpuestos.</w:t>
      </w:r>
    </w:p>
    <w:p w14:paraId="3FAE8D44" w14:textId="77777777" w:rsidR="00B76533" w:rsidRDefault="00000000">
      <w:pPr>
        <w:keepNext/>
      </w:pPr>
      <w:r>
        <w:rPr>
          <w:sz w:val="20"/>
        </w:rPr>
        <w:t>Tabla 4. Cambio de prioridades según el objetivo social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160"/>
        <w:gridCol w:w="2448"/>
        <w:gridCol w:w="1872"/>
      </w:tblGrid>
      <w:tr w:rsidR="00B76533" w14:paraId="6F31C9A6" w14:textId="77777777">
        <w:trPr>
          <w:cantSplit/>
          <w:tblHeader/>
          <w:jc w:val="center"/>
        </w:trPr>
        <w:tc>
          <w:tcPr>
            <w:tcW w:w="2592" w:type="dxa"/>
            <w:shd w:val="clear" w:color="auto" w:fill="E9EEF4"/>
            <w:tcMar>
              <w:top w:w="85" w:type="dxa"/>
              <w:left w:w="85" w:type="dxa"/>
              <w:bottom w:w="85" w:type="dxa"/>
              <w:right w:w="85" w:type="dxa"/>
            </w:tcMar>
            <w:vAlign w:val="center"/>
          </w:tcPr>
          <w:p w14:paraId="266E38E7" w14:textId="77777777" w:rsidR="00B76533" w:rsidRDefault="00000000">
            <w:pPr>
              <w:keepNext/>
              <w:spacing w:after="20" w:line="252" w:lineRule="auto"/>
              <w:jc w:val="left"/>
            </w:pPr>
            <w:r>
              <w:rPr>
                <w:b/>
                <w:sz w:val="18"/>
              </w:rPr>
              <w:t>Objetivo</w:t>
            </w:r>
          </w:p>
        </w:tc>
        <w:tc>
          <w:tcPr>
            <w:tcW w:w="2160" w:type="dxa"/>
            <w:shd w:val="clear" w:color="auto" w:fill="E9EEF4"/>
            <w:tcMar>
              <w:top w:w="85" w:type="dxa"/>
              <w:left w:w="85" w:type="dxa"/>
              <w:bottom w:w="85" w:type="dxa"/>
              <w:right w:w="85" w:type="dxa"/>
            </w:tcMar>
            <w:vAlign w:val="center"/>
          </w:tcPr>
          <w:p w14:paraId="6D89CF88" w14:textId="77777777" w:rsidR="00B76533" w:rsidRDefault="00000000">
            <w:pPr>
              <w:keepNext/>
              <w:spacing w:after="20" w:line="252" w:lineRule="auto"/>
              <w:jc w:val="left"/>
            </w:pPr>
            <w:r>
              <w:rPr>
                <w:b/>
                <w:sz w:val="18"/>
              </w:rPr>
              <w:t>Comunes con área</w:t>
            </w:r>
          </w:p>
        </w:tc>
        <w:tc>
          <w:tcPr>
            <w:tcW w:w="2448" w:type="dxa"/>
            <w:shd w:val="clear" w:color="auto" w:fill="E9EEF4"/>
            <w:tcMar>
              <w:top w:w="85" w:type="dxa"/>
              <w:left w:w="85" w:type="dxa"/>
              <w:bottom w:w="85" w:type="dxa"/>
              <w:right w:w="85" w:type="dxa"/>
            </w:tcMar>
            <w:vAlign w:val="center"/>
          </w:tcPr>
          <w:p w14:paraId="5AEB7789" w14:textId="77777777" w:rsidR="00B76533" w:rsidRDefault="00000000">
            <w:pPr>
              <w:keepNext/>
              <w:spacing w:after="20" w:line="252" w:lineRule="auto"/>
              <w:jc w:val="center"/>
            </w:pPr>
            <w:r>
              <w:rPr>
                <w:b/>
                <w:sz w:val="18"/>
              </w:rPr>
              <w:t>Parroquias incorporadas</w:t>
            </w:r>
          </w:p>
        </w:tc>
        <w:tc>
          <w:tcPr>
            <w:tcW w:w="1872" w:type="dxa"/>
            <w:shd w:val="clear" w:color="auto" w:fill="E9EEF4"/>
            <w:tcMar>
              <w:top w:w="85" w:type="dxa"/>
              <w:left w:w="85" w:type="dxa"/>
              <w:bottom w:w="85" w:type="dxa"/>
              <w:right w:w="85" w:type="dxa"/>
            </w:tcMar>
            <w:vAlign w:val="center"/>
          </w:tcPr>
          <w:p w14:paraId="1655A89A" w14:textId="77777777" w:rsidR="00B76533" w:rsidRDefault="00000000">
            <w:pPr>
              <w:keepNext/>
              <w:spacing w:after="20" w:line="252" w:lineRule="auto"/>
              <w:jc w:val="center"/>
            </w:pPr>
            <w:r>
              <w:rPr>
                <w:b/>
                <w:sz w:val="18"/>
              </w:rPr>
              <w:t>Jaccard</w:t>
            </w:r>
          </w:p>
        </w:tc>
      </w:tr>
      <w:tr w:rsidR="00B76533" w14:paraId="06BE7C79" w14:textId="77777777">
        <w:trPr>
          <w:cantSplit/>
          <w:jc w:val="center"/>
        </w:trPr>
        <w:tc>
          <w:tcPr>
            <w:tcW w:w="2592" w:type="dxa"/>
            <w:tcMar>
              <w:top w:w="85" w:type="dxa"/>
              <w:left w:w="85" w:type="dxa"/>
              <w:bottom w:w="85" w:type="dxa"/>
              <w:right w:w="85" w:type="dxa"/>
            </w:tcMar>
            <w:vAlign w:val="center"/>
          </w:tcPr>
          <w:p w14:paraId="6411DDDD" w14:textId="77777777" w:rsidR="00B76533" w:rsidRDefault="00000000">
            <w:pPr>
              <w:keepNext/>
              <w:spacing w:after="20" w:line="252" w:lineRule="auto"/>
              <w:jc w:val="left"/>
            </w:pPr>
            <w:r>
              <w:rPr>
                <w:sz w:val="18"/>
              </w:rPr>
              <w:t>NBI (hogares)</w:t>
            </w:r>
          </w:p>
        </w:tc>
        <w:tc>
          <w:tcPr>
            <w:tcW w:w="2160" w:type="dxa"/>
            <w:tcMar>
              <w:top w:w="85" w:type="dxa"/>
              <w:left w:w="85" w:type="dxa"/>
              <w:bottom w:w="85" w:type="dxa"/>
              <w:right w:w="85" w:type="dxa"/>
            </w:tcMar>
            <w:vAlign w:val="center"/>
          </w:tcPr>
          <w:p w14:paraId="1C794B2B" w14:textId="77777777" w:rsidR="00B76533" w:rsidRDefault="00000000">
            <w:pPr>
              <w:keepNext/>
              <w:spacing w:after="20" w:line="252" w:lineRule="auto"/>
              <w:jc w:val="left"/>
            </w:pPr>
            <w:r>
              <w:rPr>
                <w:sz w:val="18"/>
              </w:rPr>
              <w:t>11</w:t>
            </w:r>
          </w:p>
        </w:tc>
        <w:tc>
          <w:tcPr>
            <w:tcW w:w="2448" w:type="dxa"/>
            <w:tcMar>
              <w:top w:w="85" w:type="dxa"/>
              <w:left w:w="85" w:type="dxa"/>
              <w:bottom w:w="85" w:type="dxa"/>
              <w:right w:w="85" w:type="dxa"/>
            </w:tcMar>
            <w:vAlign w:val="center"/>
          </w:tcPr>
          <w:p w14:paraId="744568F7" w14:textId="77777777" w:rsidR="00B76533" w:rsidRDefault="00000000">
            <w:pPr>
              <w:keepNext/>
              <w:spacing w:after="20" w:line="252" w:lineRule="auto"/>
              <w:jc w:val="center"/>
            </w:pPr>
            <w:r>
              <w:rPr>
                <w:sz w:val="18"/>
              </w:rPr>
              <w:t>2</w:t>
            </w:r>
          </w:p>
        </w:tc>
        <w:tc>
          <w:tcPr>
            <w:tcW w:w="1872" w:type="dxa"/>
            <w:tcMar>
              <w:top w:w="85" w:type="dxa"/>
              <w:left w:w="85" w:type="dxa"/>
              <w:bottom w:w="85" w:type="dxa"/>
              <w:right w:w="85" w:type="dxa"/>
            </w:tcMar>
            <w:vAlign w:val="center"/>
          </w:tcPr>
          <w:p w14:paraId="25D8BC5A" w14:textId="77777777" w:rsidR="00B76533" w:rsidRDefault="00000000">
            <w:pPr>
              <w:keepNext/>
              <w:spacing w:after="20" w:line="252" w:lineRule="auto"/>
              <w:jc w:val="center"/>
            </w:pPr>
            <w:r>
              <w:rPr>
                <w:sz w:val="18"/>
              </w:rPr>
              <w:t>0.733</w:t>
            </w:r>
          </w:p>
        </w:tc>
      </w:tr>
      <w:tr w:rsidR="00B76533" w14:paraId="3266455E" w14:textId="77777777">
        <w:trPr>
          <w:cantSplit/>
          <w:jc w:val="center"/>
        </w:trPr>
        <w:tc>
          <w:tcPr>
            <w:tcW w:w="2592" w:type="dxa"/>
            <w:tcMar>
              <w:top w:w="85" w:type="dxa"/>
              <w:left w:w="85" w:type="dxa"/>
              <w:bottom w:w="85" w:type="dxa"/>
              <w:right w:w="85" w:type="dxa"/>
            </w:tcMar>
            <w:vAlign w:val="center"/>
          </w:tcPr>
          <w:p w14:paraId="54B9F523" w14:textId="77777777" w:rsidR="00B76533" w:rsidRDefault="00000000">
            <w:pPr>
              <w:keepNext/>
              <w:spacing w:after="20" w:line="252" w:lineRule="auto"/>
              <w:jc w:val="left"/>
            </w:pPr>
            <w:r>
              <w:rPr>
                <w:sz w:val="18"/>
              </w:rPr>
              <w:t>NBI extremo (hogares)</w:t>
            </w:r>
          </w:p>
        </w:tc>
        <w:tc>
          <w:tcPr>
            <w:tcW w:w="2160" w:type="dxa"/>
            <w:tcMar>
              <w:top w:w="85" w:type="dxa"/>
              <w:left w:w="85" w:type="dxa"/>
              <w:bottom w:w="85" w:type="dxa"/>
              <w:right w:w="85" w:type="dxa"/>
            </w:tcMar>
            <w:vAlign w:val="center"/>
          </w:tcPr>
          <w:p w14:paraId="7CFE2EFB" w14:textId="77777777" w:rsidR="00B76533" w:rsidRDefault="00000000">
            <w:pPr>
              <w:keepNext/>
              <w:spacing w:after="20" w:line="252" w:lineRule="auto"/>
              <w:jc w:val="left"/>
            </w:pPr>
            <w:r>
              <w:rPr>
                <w:sz w:val="18"/>
              </w:rPr>
              <w:t>10</w:t>
            </w:r>
          </w:p>
        </w:tc>
        <w:tc>
          <w:tcPr>
            <w:tcW w:w="2448" w:type="dxa"/>
            <w:tcMar>
              <w:top w:w="85" w:type="dxa"/>
              <w:left w:w="85" w:type="dxa"/>
              <w:bottom w:w="85" w:type="dxa"/>
              <w:right w:w="85" w:type="dxa"/>
            </w:tcMar>
            <w:vAlign w:val="center"/>
          </w:tcPr>
          <w:p w14:paraId="3E5D4945" w14:textId="77777777" w:rsidR="00B76533" w:rsidRDefault="00000000">
            <w:pPr>
              <w:keepNext/>
              <w:spacing w:after="20" w:line="252" w:lineRule="auto"/>
              <w:jc w:val="center"/>
            </w:pPr>
            <w:r>
              <w:rPr>
                <w:sz w:val="18"/>
              </w:rPr>
              <w:t>3</w:t>
            </w:r>
          </w:p>
        </w:tc>
        <w:tc>
          <w:tcPr>
            <w:tcW w:w="1872" w:type="dxa"/>
            <w:tcMar>
              <w:top w:w="85" w:type="dxa"/>
              <w:left w:w="85" w:type="dxa"/>
              <w:bottom w:w="85" w:type="dxa"/>
              <w:right w:w="85" w:type="dxa"/>
            </w:tcMar>
            <w:vAlign w:val="center"/>
          </w:tcPr>
          <w:p w14:paraId="1BD0C019" w14:textId="77777777" w:rsidR="00B76533" w:rsidRDefault="00000000">
            <w:pPr>
              <w:keepNext/>
              <w:spacing w:after="20" w:line="252" w:lineRule="auto"/>
              <w:jc w:val="center"/>
            </w:pPr>
            <w:r>
              <w:rPr>
                <w:sz w:val="18"/>
              </w:rPr>
              <w:t>0.625</w:t>
            </w:r>
          </w:p>
        </w:tc>
      </w:tr>
      <w:tr w:rsidR="00B76533" w14:paraId="3B9240C7" w14:textId="77777777">
        <w:trPr>
          <w:cantSplit/>
          <w:jc w:val="center"/>
        </w:trPr>
        <w:tc>
          <w:tcPr>
            <w:tcW w:w="2592" w:type="dxa"/>
            <w:tcMar>
              <w:top w:w="85" w:type="dxa"/>
              <w:left w:w="85" w:type="dxa"/>
              <w:bottom w:w="85" w:type="dxa"/>
              <w:right w:w="85" w:type="dxa"/>
            </w:tcMar>
            <w:vAlign w:val="center"/>
          </w:tcPr>
          <w:p w14:paraId="187FE92A" w14:textId="77777777" w:rsidR="00B76533" w:rsidRDefault="00000000">
            <w:pPr>
              <w:keepNext/>
              <w:spacing w:after="20" w:line="252" w:lineRule="auto"/>
              <w:jc w:val="left"/>
            </w:pPr>
            <w:r>
              <w:rPr>
                <w:sz w:val="18"/>
              </w:rPr>
              <w:t>Saneamiento</w:t>
            </w:r>
          </w:p>
        </w:tc>
        <w:tc>
          <w:tcPr>
            <w:tcW w:w="2160" w:type="dxa"/>
            <w:tcMar>
              <w:top w:w="85" w:type="dxa"/>
              <w:left w:w="85" w:type="dxa"/>
              <w:bottom w:w="85" w:type="dxa"/>
              <w:right w:w="85" w:type="dxa"/>
            </w:tcMar>
            <w:vAlign w:val="center"/>
          </w:tcPr>
          <w:p w14:paraId="7E20A4B4" w14:textId="77777777" w:rsidR="00B76533" w:rsidRDefault="00000000">
            <w:pPr>
              <w:keepNext/>
              <w:spacing w:after="20" w:line="252" w:lineRule="auto"/>
              <w:jc w:val="left"/>
            </w:pPr>
            <w:r>
              <w:rPr>
                <w:sz w:val="18"/>
              </w:rPr>
              <w:t>8</w:t>
            </w:r>
          </w:p>
        </w:tc>
        <w:tc>
          <w:tcPr>
            <w:tcW w:w="2448" w:type="dxa"/>
            <w:tcMar>
              <w:top w:w="85" w:type="dxa"/>
              <w:left w:w="85" w:type="dxa"/>
              <w:bottom w:w="85" w:type="dxa"/>
              <w:right w:w="85" w:type="dxa"/>
            </w:tcMar>
            <w:vAlign w:val="center"/>
          </w:tcPr>
          <w:p w14:paraId="455B934A" w14:textId="77777777" w:rsidR="00B76533" w:rsidRDefault="00000000">
            <w:pPr>
              <w:keepNext/>
              <w:spacing w:after="20" w:line="252" w:lineRule="auto"/>
              <w:jc w:val="center"/>
            </w:pPr>
            <w:r>
              <w:rPr>
                <w:sz w:val="18"/>
              </w:rPr>
              <w:t>5</w:t>
            </w:r>
          </w:p>
        </w:tc>
        <w:tc>
          <w:tcPr>
            <w:tcW w:w="1872" w:type="dxa"/>
            <w:tcMar>
              <w:top w:w="85" w:type="dxa"/>
              <w:left w:w="85" w:type="dxa"/>
              <w:bottom w:w="85" w:type="dxa"/>
              <w:right w:w="85" w:type="dxa"/>
            </w:tcMar>
            <w:vAlign w:val="center"/>
          </w:tcPr>
          <w:p w14:paraId="652E4823" w14:textId="77777777" w:rsidR="00B76533" w:rsidRDefault="00000000">
            <w:pPr>
              <w:keepNext/>
              <w:spacing w:after="20" w:line="252" w:lineRule="auto"/>
              <w:jc w:val="center"/>
            </w:pPr>
            <w:r>
              <w:rPr>
                <w:sz w:val="18"/>
              </w:rPr>
              <w:t>0.444</w:t>
            </w:r>
          </w:p>
        </w:tc>
      </w:tr>
      <w:tr w:rsidR="00B76533" w14:paraId="32E0C930" w14:textId="77777777">
        <w:trPr>
          <w:cantSplit/>
          <w:jc w:val="center"/>
        </w:trPr>
        <w:tc>
          <w:tcPr>
            <w:tcW w:w="2592" w:type="dxa"/>
            <w:tcMar>
              <w:top w:w="85" w:type="dxa"/>
              <w:left w:w="85" w:type="dxa"/>
              <w:bottom w:w="85" w:type="dxa"/>
              <w:right w:w="85" w:type="dxa"/>
            </w:tcMar>
            <w:vAlign w:val="center"/>
          </w:tcPr>
          <w:p w14:paraId="74CBF8DE" w14:textId="77777777" w:rsidR="00B76533" w:rsidRDefault="00000000">
            <w:pPr>
              <w:keepNext/>
              <w:spacing w:after="20" w:line="252" w:lineRule="auto"/>
              <w:jc w:val="left"/>
            </w:pPr>
            <w:r>
              <w:rPr>
                <w:sz w:val="18"/>
              </w:rPr>
              <w:t>Agua</w:t>
            </w:r>
          </w:p>
        </w:tc>
        <w:tc>
          <w:tcPr>
            <w:tcW w:w="2160" w:type="dxa"/>
            <w:tcMar>
              <w:top w:w="85" w:type="dxa"/>
              <w:left w:w="85" w:type="dxa"/>
              <w:bottom w:w="85" w:type="dxa"/>
              <w:right w:w="85" w:type="dxa"/>
            </w:tcMar>
            <w:vAlign w:val="center"/>
          </w:tcPr>
          <w:p w14:paraId="5017500A" w14:textId="77777777" w:rsidR="00B76533" w:rsidRDefault="00000000">
            <w:pPr>
              <w:keepNext/>
              <w:spacing w:after="20" w:line="252" w:lineRule="auto"/>
              <w:jc w:val="left"/>
            </w:pPr>
            <w:r>
              <w:rPr>
                <w:sz w:val="18"/>
              </w:rPr>
              <w:t>11</w:t>
            </w:r>
          </w:p>
        </w:tc>
        <w:tc>
          <w:tcPr>
            <w:tcW w:w="2448" w:type="dxa"/>
            <w:tcMar>
              <w:top w:w="85" w:type="dxa"/>
              <w:left w:w="85" w:type="dxa"/>
              <w:bottom w:w="85" w:type="dxa"/>
              <w:right w:w="85" w:type="dxa"/>
            </w:tcMar>
            <w:vAlign w:val="center"/>
          </w:tcPr>
          <w:p w14:paraId="29665EFC" w14:textId="77777777" w:rsidR="00B76533" w:rsidRDefault="00000000">
            <w:pPr>
              <w:keepNext/>
              <w:spacing w:after="20" w:line="252" w:lineRule="auto"/>
              <w:jc w:val="center"/>
            </w:pPr>
            <w:r>
              <w:rPr>
                <w:sz w:val="18"/>
              </w:rPr>
              <w:t>2</w:t>
            </w:r>
          </w:p>
        </w:tc>
        <w:tc>
          <w:tcPr>
            <w:tcW w:w="1872" w:type="dxa"/>
            <w:tcMar>
              <w:top w:w="85" w:type="dxa"/>
              <w:left w:w="85" w:type="dxa"/>
              <w:bottom w:w="85" w:type="dxa"/>
              <w:right w:w="85" w:type="dxa"/>
            </w:tcMar>
            <w:vAlign w:val="center"/>
          </w:tcPr>
          <w:p w14:paraId="5756AABC" w14:textId="77777777" w:rsidR="00B76533" w:rsidRDefault="00000000">
            <w:pPr>
              <w:keepNext/>
              <w:spacing w:after="20" w:line="252" w:lineRule="auto"/>
              <w:jc w:val="center"/>
            </w:pPr>
            <w:r>
              <w:rPr>
                <w:sz w:val="18"/>
              </w:rPr>
              <w:t>0.733</w:t>
            </w:r>
          </w:p>
        </w:tc>
      </w:tr>
      <w:tr w:rsidR="00B76533" w14:paraId="591703FD" w14:textId="77777777">
        <w:trPr>
          <w:cantSplit/>
          <w:jc w:val="center"/>
        </w:trPr>
        <w:tc>
          <w:tcPr>
            <w:tcW w:w="2592" w:type="dxa"/>
            <w:tcMar>
              <w:top w:w="85" w:type="dxa"/>
              <w:left w:w="85" w:type="dxa"/>
              <w:bottom w:w="85" w:type="dxa"/>
              <w:right w:w="85" w:type="dxa"/>
            </w:tcMar>
            <w:vAlign w:val="center"/>
          </w:tcPr>
          <w:p w14:paraId="7492F693" w14:textId="77777777" w:rsidR="00B76533" w:rsidRDefault="00000000">
            <w:pPr>
              <w:keepNext/>
              <w:spacing w:after="20" w:line="252" w:lineRule="auto"/>
              <w:jc w:val="left"/>
            </w:pPr>
            <w:r>
              <w:rPr>
                <w:sz w:val="18"/>
              </w:rPr>
              <w:t>Hacinamiento</w:t>
            </w:r>
          </w:p>
        </w:tc>
        <w:tc>
          <w:tcPr>
            <w:tcW w:w="2160" w:type="dxa"/>
            <w:tcMar>
              <w:top w:w="85" w:type="dxa"/>
              <w:left w:w="85" w:type="dxa"/>
              <w:bottom w:w="85" w:type="dxa"/>
              <w:right w:w="85" w:type="dxa"/>
            </w:tcMar>
            <w:vAlign w:val="center"/>
          </w:tcPr>
          <w:p w14:paraId="450A51D3" w14:textId="77777777" w:rsidR="00B76533" w:rsidRDefault="00000000">
            <w:pPr>
              <w:keepNext/>
              <w:spacing w:after="20" w:line="252" w:lineRule="auto"/>
              <w:jc w:val="left"/>
            </w:pPr>
            <w:r>
              <w:rPr>
                <w:sz w:val="18"/>
              </w:rPr>
              <w:t>11</w:t>
            </w:r>
          </w:p>
        </w:tc>
        <w:tc>
          <w:tcPr>
            <w:tcW w:w="2448" w:type="dxa"/>
            <w:tcMar>
              <w:top w:w="85" w:type="dxa"/>
              <w:left w:w="85" w:type="dxa"/>
              <w:bottom w:w="85" w:type="dxa"/>
              <w:right w:w="85" w:type="dxa"/>
            </w:tcMar>
            <w:vAlign w:val="center"/>
          </w:tcPr>
          <w:p w14:paraId="37F1DF33" w14:textId="77777777" w:rsidR="00B76533" w:rsidRDefault="00000000">
            <w:pPr>
              <w:keepNext/>
              <w:spacing w:after="20" w:line="252" w:lineRule="auto"/>
              <w:jc w:val="center"/>
            </w:pPr>
            <w:r>
              <w:rPr>
                <w:sz w:val="18"/>
              </w:rPr>
              <w:t>2</w:t>
            </w:r>
          </w:p>
        </w:tc>
        <w:tc>
          <w:tcPr>
            <w:tcW w:w="1872" w:type="dxa"/>
            <w:tcMar>
              <w:top w:w="85" w:type="dxa"/>
              <w:left w:w="85" w:type="dxa"/>
              <w:bottom w:w="85" w:type="dxa"/>
              <w:right w:w="85" w:type="dxa"/>
            </w:tcMar>
            <w:vAlign w:val="center"/>
          </w:tcPr>
          <w:p w14:paraId="550C6F4F" w14:textId="77777777" w:rsidR="00B76533" w:rsidRDefault="00000000">
            <w:pPr>
              <w:keepNext/>
              <w:spacing w:after="20" w:line="252" w:lineRule="auto"/>
              <w:jc w:val="center"/>
            </w:pPr>
            <w:r>
              <w:rPr>
                <w:sz w:val="18"/>
              </w:rPr>
              <w:t>0.733</w:t>
            </w:r>
          </w:p>
        </w:tc>
      </w:tr>
    </w:tbl>
    <w:p w14:paraId="6300D607" w14:textId="77777777" w:rsidR="00B76533" w:rsidRDefault="00000000">
      <w:pPr>
        <w:spacing w:before="100"/>
      </w:pPr>
      <w:r>
        <w:rPr>
          <w:sz w:val="18"/>
        </w:rPr>
        <w:t>Fuente: integración territorial. Elaboración propia. Cada selección comprende 13 parroquias y mantiene igual mapa y escenario de lluvia. Jaccard: intersección dividida por unión de seleccionadas. Las incorporaciones cuentan parroquias, no hogares afectados.</w:t>
      </w:r>
    </w:p>
    <w:p w14:paraId="321FB192" w14:textId="77777777" w:rsidR="00B76533" w:rsidRDefault="00000000">
      <w:pPr>
        <w:pStyle w:val="Ttulo2"/>
      </w:pPr>
      <w:r>
        <w:t>3.3 Estabilidad e incertidumbre</w:t>
      </w:r>
    </w:p>
    <w:p w14:paraId="04EBFE84" w14:textId="77777777" w:rsidR="00B76533" w:rsidRDefault="00000000">
      <w:r>
        <w:t>Siete parroquias (Guamaní, La Ecuatoriana, Quitumbe, Amaguaña, Conocoto, Pomasqui y San Antonio) permanecen en la selección por NBI en las seis combinaciones de modelo territorial y lluvia; Calderón, Turubamba, Chillogallo, Solanda y Tumbaco aparecen en cuatro y San Bartolo en dos (figura 4). El ancla sola y el ancla con red producen las mismas 13 parroquias en las tres lluvias (Spearman de al menos 0.9997) y los deciles de ambos modelos tienen un Jaccard de 0.983.</w:t>
      </w:r>
    </w:p>
    <w:p w14:paraId="6C8FC493" w14:textId="77777777" w:rsidR="00B76533" w:rsidRDefault="00000000">
      <w:pPr>
        <w:keepNext/>
      </w:pPr>
      <w:r>
        <w:rPr>
          <w:sz w:val="20"/>
        </w:rPr>
        <w:lastRenderedPageBreak/>
        <w:t>Figura 4. Estabilidad y redistribución de prioridades sociales</w:t>
      </w:r>
    </w:p>
    <w:p w14:paraId="62752533" w14:textId="77777777" w:rsidR="00B76533" w:rsidRDefault="00000000">
      <w:pPr>
        <w:keepNext/>
      </w:pPr>
      <w:r>
        <w:rPr>
          <w:noProof/>
        </w:rPr>
        <w:drawing>
          <wp:inline distT="0" distB="0" distL="0" distR="0" wp14:anchorId="1E1FF56D" wp14:editId="4B17213A">
            <wp:extent cx="5760720" cy="4290300"/>
            <wp:effectExtent l="0" t="0" r="0" b="0"/>
            <wp:docPr id="4" name="Picture 4" descr="Figura 4. Estabilidad y redistribución de prioridades sociales. Fuente: seis combinaciones de modelos y comparación de selecciones con 13 parroquias. Elaboración propia. El panel b corresponde al escenario red residual y red ENSO. Acuerdo de modelos, no certeza de da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6_estabilidad_social.png"/>
                    <pic:cNvPicPr/>
                  </pic:nvPicPr>
                  <pic:blipFill>
                    <a:blip r:embed="rId11"/>
                    <a:stretch>
                      <a:fillRect/>
                    </a:stretch>
                  </pic:blipFill>
                  <pic:spPr>
                    <a:xfrm>
                      <a:off x="0" y="0"/>
                      <a:ext cx="5760720" cy="4290300"/>
                    </a:xfrm>
                    <a:prstGeom prst="rect">
                      <a:avLst/>
                    </a:prstGeom>
                  </pic:spPr>
                </pic:pic>
              </a:graphicData>
            </a:graphic>
          </wp:inline>
        </w:drawing>
      </w:r>
    </w:p>
    <w:p w14:paraId="432101A6" w14:textId="77777777" w:rsidR="00B76533" w:rsidRDefault="00000000">
      <w:r>
        <w:rPr>
          <w:sz w:val="18"/>
        </w:rPr>
        <w:t>Fuente: seis combinaciones de modelos y comparación de selecciones con 13 parroquias. Elaboración propia. El panel b corresponde al escenario red residual y red ENSO. Acuerdo de modelos, no certeza de daños.</w:t>
      </w:r>
    </w:p>
    <w:p w14:paraId="64491B43" w14:textId="77777777" w:rsidR="00B76533" w:rsidRDefault="00000000">
      <w:r>
        <w:t>El presupuesto y el umbral modifican el margen. Con el decil superior, introducir NBI cambia una parroquia con presupuesto de cinco (Amaguaña reemplaza a Quitumbe) y de 10, dos con 13 y cinco con 20. Con presupuesto de 13, produce dos sustituciones con el 20 % superior del construido y cuatro con el 5 % superior. Medir el NBI en personas en lugar de hogares conserva 12 de las 13 parroquias (con personas ingresa El Condado en lugar de Pomasqui; Spearman de 0.998), y en las seis combinaciones la coincidencia es de 12 o 13 parroquias (Spearman de al menos 0.997).</w:t>
      </w:r>
    </w:p>
    <w:p w14:paraId="63A7D100" w14:textId="77777777" w:rsidR="00B76533" w:rsidRDefault="00000000">
      <w:r>
        <w:t>La escala del NBI también modifica el margen. Al asignar cada píxel construido a su sector censal (7 221 sectores; figura S4), el NBI medio ponderado por el área prioritaria es 9.36 %, frente a 10.55 % con la tasa parroquial, y las diferencias dentro de las parroquias van de −33 a +31 puntos porcentuales. En el escenario principal coinciden 11 de las 13 parroquias (Centro Histórico y El Condado reemplazan a Pomasqui y Tumbaco; Spearman de 0.988) y con la climatología coinciden las 13. La incorporación de Pomasqui y Tumbaco depende, por tanto, de medir la privación a escala parroquial.</w:t>
      </w:r>
    </w:p>
    <w:p w14:paraId="3809C9E9" w14:textId="77777777" w:rsidR="00B76533" w:rsidRDefault="00000000">
      <w:r>
        <w:t>La incertidumbre muestral es mayor que la sensibilidad a la especificación (figura 5). Siete parroquias (Calderón, Guamaní, Turubamba, La Ecuatoriana, Chillogallo, Conocoto y Amaguaña) están entre las 13 primeras en más del 90 % de las réplicas y cuatro entre 50 % y 90 % (Quitumbe, San Antonio, Tumbaco y Solanda); Pomasqui aparece en 46 % y El Condado en 43 %. Pomasqui y Tumbaco ingresan por NBI en 23 % y 34 % de las réplicas. Solo cuatro parroquias (Guamaní, La Ecuatoriana, Conocoto y Amaguaña) son estables frente a modelo, lluvia y muestra.</w:t>
      </w:r>
    </w:p>
    <w:p w14:paraId="6A93D279" w14:textId="77777777" w:rsidR="00B76533" w:rsidRDefault="00000000">
      <w:pPr>
        <w:keepNext/>
      </w:pPr>
      <w:r>
        <w:rPr>
          <w:sz w:val="20"/>
        </w:rPr>
        <w:lastRenderedPageBreak/>
        <w:t>Figura 5. Probabilidad de pertenecer a las 13 parroquias prioritarias</w:t>
      </w:r>
    </w:p>
    <w:p w14:paraId="43FE5C33" w14:textId="77777777" w:rsidR="00B76533" w:rsidRDefault="00000000">
      <w:pPr>
        <w:keepNext/>
      </w:pPr>
      <w:r>
        <w:rPr>
          <w:noProof/>
        </w:rPr>
        <w:drawing>
          <wp:inline distT="0" distB="0" distL="0" distR="0" wp14:anchorId="5CAA463B" wp14:editId="0B553DB2">
            <wp:extent cx="5760000" cy="3454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incertidumbre_ranking.png"/>
                    <pic:cNvPicPr/>
                  </pic:nvPicPr>
                  <pic:blipFill>
                    <a:blip r:embed="rId12"/>
                    <a:stretch>
                      <a:fillRect/>
                    </a:stretch>
                  </pic:blipFill>
                  <pic:spPr>
                    <a:xfrm>
                      <a:off x="0" y="0"/>
                      <a:ext cx="5760000" cy="3454780"/>
                    </a:xfrm>
                    <a:prstGeom prst="rect">
                      <a:avLst/>
                    </a:prstGeom>
                  </pic:spPr>
                </pic:pic>
              </a:graphicData>
            </a:graphic>
          </wp:inline>
        </w:drawing>
      </w:r>
    </w:p>
    <w:p w14:paraId="1023EE1E" w14:textId="77777777" w:rsidR="00B76533" w:rsidRDefault="00000000">
      <w:pPr>
        <w:spacing w:before="100"/>
      </w:pPr>
      <w:r>
        <w:rPr>
          <w:sz w:val="18"/>
        </w:rPr>
        <w:t>Fuente: 300 réplicas por bloques de 5 km de los reportes de entrenamiento, ancla reajustada y prioridad recalculada. Elaboración propia. Azul oscuro: probabilidad de al menos 0.9; azul medio: entre 0.5 y 0.9. Cuadrado rojo: parroquias que están entre las 13 con la estimación puntual.</w:t>
      </w:r>
    </w:p>
    <w:p w14:paraId="64491B43" w14:textId="77777777" w:rsidR="00B76533" w:rsidRDefault="00000000">
      <w:r>
        <w:t>Un tercer origen de variación es la clase de modelo territorial. Al sustituir el ancla por una regresión logística, boosting, un bosque aleatorio o un ensamble (tabla S11), la validación dejando un bloque de 5 km fuera mejora la captura en unos 3 puntos porcentuales sin mejorar la log densidad, y la selección de 13 parroquias cambia hasta en 5 de ellas según el modelo y el escenario de lluvia. Guamaní, La Ecuatoriana y Quitumbe permanecen entre las 13 en las 15 combinaciones de modelo y lluvia, Turubamba en 14 y Conocoto y Amaguaña en 13, mientras que Pomasqui lo hace en 8 y Tumbaco en 4 (sección S8).</w:t>
      </w:r>
    </w:p>
    <w:p w14:paraId="4D72A35A" w14:textId="77777777" w:rsidR="00B76533" w:rsidRDefault="00000000">
      <w:pPr>
        <w:pStyle w:val="Ttulo2"/>
      </w:pPr>
      <w:r>
        <w:t>3.4 Capacidad de discriminación del modelo territorial</w:t>
      </w:r>
    </w:p>
    <w:p w14:paraId="41F1A536" w14:textId="77777777" w:rsidR="00B76533" w:rsidRDefault="00000000">
      <w:r>
        <w:t>La tabla 5 resume la evidencia. Con el fondo territorial completo, el ancla alcanza 1.960 de log densidad y 86.8 % de captura en la prueba temporal y 1.095 y 63.9 % en la espacial. La red residual no mejora de forma uniforme sobre el ancla (1.963 y 1.070 en la variante aplicada) y el resultado depende de cómo se seleccionan la penalización y el temperado: una búsqueda conjunta sobre la misma grilla elige otro ancla, con mayor calibración y menor log densidad de prueba (1.878 frente a 1.960; sección S4).</w:t>
      </w:r>
    </w:p>
    <w:p w14:paraId="6E5BE992" w14:textId="77777777" w:rsidR="00B76533" w:rsidRDefault="00000000">
      <w:r>
        <w:t>Cuando la evaluación se restringe al construido, la discriminación cae. Dentro de las áreas con construido alto, donde cae la mayoría de los reportes (95 de 100 en la prueba temporal y 48 de 58 en la espacial), la log densidad baja a 0.33 y −0.10 y la captura del 10 % del estrato es 19.9 % y 14.1 %. Con los eventos del COE posteriores al período de entrenamiento (659 eventos de 2022 a mayo de 2024), el 19.1 % cae en el 10 % superior del construido (IC 95 %: 12.0 a 26.0 %), frente a 10 % por azar, y la log densidad relativa es 0.03 (de −0.18 a 0.19). Un modelo de tres variables de construido y vías iguala al completo en la prueba temporal (1.905 y 88.0 %) y uno solo físico no se distingue del azar con los eventos del COE (12.4 %). Por último, el modelo ordena pero su intensidad no está calibrada fuera del ajuste: en el decil superior se observa 86.8 % de los reportes temporales frente a 91.5 % esperado, y 63.9 % de los espaciales frente a 90.4 %. Las pruebas posestimación (sección S8) indican que el desempeño descansa en tres covariables (relieve local, construido a 100 m y distancia a vías), que ningún bloque de 5 km lo determina y que la captura anual del 10 % superior con eventos del COE se mantiene entre 16.3 % y 30.0 % en los 15 años, con límites inferiores de Wilson sobre 10 %. Con 59 imágenes Sentinel-1 de 2021 a 2024, los bloques con eventos muestran un aumento de retrodispersión 0.25 dB mayor que el resto del construido (IC 95 %: 0.10 a 0.40) y la susceptibilidad se asocia con ese cambio (correlación de rangos de 0.07), una señal débil y de la dirección esperada para agua urbana (sección S9).</w:t>
      </w:r>
    </w:p>
    <w:p w14:paraId="571C87E4" w14:textId="77777777" w:rsidR="00B76533" w:rsidRDefault="00000000">
      <w:pPr>
        <w:keepNext/>
      </w:pPr>
      <w:r>
        <w:rPr>
          <w:sz w:val="20"/>
        </w:rPr>
        <w:lastRenderedPageBreak/>
        <w:t>Tabla 5. Evidencia sobre la capacidad de discriminación del modelo territorial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00"/>
        <w:gridCol w:w="1700"/>
        <w:gridCol w:w="1836"/>
        <w:gridCol w:w="1836"/>
      </w:tblGrid>
      <w:tr w:rsidR="00B76533" w14:paraId="30E85BB7" w14:textId="77777777">
        <w:trPr>
          <w:cantSplit/>
          <w:tblHeader/>
          <w:jc w:val="center"/>
        </w:trPr>
        <w:tc>
          <w:tcPr>
            <w:tcW w:w="3700" w:type="dxa"/>
            <w:shd w:val="clear" w:color="auto" w:fill="E9EEF4"/>
            <w:tcMar>
              <w:top w:w="85" w:type="dxa"/>
              <w:left w:w="85" w:type="dxa"/>
              <w:bottom w:w="85" w:type="dxa"/>
              <w:right w:w="85" w:type="dxa"/>
            </w:tcMar>
            <w:vAlign w:val="center"/>
          </w:tcPr>
          <w:p w14:paraId="7C96076C" w14:textId="77777777" w:rsidR="00B76533" w:rsidRDefault="00000000">
            <w:pPr>
              <w:keepNext/>
              <w:spacing w:after="20" w:line="252" w:lineRule="auto"/>
              <w:jc w:val="left"/>
            </w:pPr>
            <w:r>
              <w:rPr>
                <w:b/>
                <w:sz w:val="18"/>
              </w:rPr>
              <w:t>Evaluación</w:t>
            </w:r>
          </w:p>
        </w:tc>
        <w:tc>
          <w:tcPr>
            <w:tcW w:w="1700" w:type="dxa"/>
            <w:shd w:val="clear" w:color="auto" w:fill="E9EEF4"/>
            <w:tcMar>
              <w:top w:w="85" w:type="dxa"/>
              <w:left w:w="85" w:type="dxa"/>
              <w:bottom w:w="85" w:type="dxa"/>
              <w:right w:w="85" w:type="dxa"/>
            </w:tcMar>
            <w:vAlign w:val="center"/>
          </w:tcPr>
          <w:p w14:paraId="22A7B305" w14:textId="77777777" w:rsidR="00B76533" w:rsidRDefault="00000000">
            <w:pPr>
              <w:keepNext/>
              <w:spacing w:after="20" w:line="252" w:lineRule="auto"/>
              <w:jc w:val="left"/>
            </w:pPr>
            <w:r>
              <w:rPr>
                <w:b/>
                <w:sz w:val="18"/>
              </w:rPr>
              <w:t>Muestra</w:t>
            </w:r>
          </w:p>
        </w:tc>
        <w:tc>
          <w:tcPr>
            <w:tcW w:w="1836" w:type="dxa"/>
            <w:shd w:val="clear" w:color="auto" w:fill="E9EEF4"/>
            <w:tcMar>
              <w:top w:w="85" w:type="dxa"/>
              <w:left w:w="85" w:type="dxa"/>
              <w:bottom w:w="85" w:type="dxa"/>
              <w:right w:w="85" w:type="dxa"/>
            </w:tcMar>
            <w:vAlign w:val="center"/>
          </w:tcPr>
          <w:p w14:paraId="168B992A" w14:textId="77777777" w:rsidR="00B76533" w:rsidRDefault="00000000">
            <w:pPr>
              <w:keepNext/>
              <w:spacing w:after="20" w:line="252" w:lineRule="auto"/>
              <w:jc w:val="left"/>
            </w:pPr>
            <w:r>
              <w:rPr>
                <w:b/>
                <w:sz w:val="18"/>
              </w:rPr>
              <w:t>Log densidad relativa</w:t>
            </w:r>
          </w:p>
        </w:tc>
        <w:tc>
          <w:tcPr>
            <w:tcW w:w="1836" w:type="dxa"/>
            <w:shd w:val="clear" w:color="auto" w:fill="E9EEF4"/>
            <w:tcMar>
              <w:top w:w="85" w:type="dxa"/>
              <w:left w:w="85" w:type="dxa"/>
              <w:bottom w:w="85" w:type="dxa"/>
              <w:right w:w="85" w:type="dxa"/>
            </w:tcMar>
            <w:vAlign w:val="center"/>
          </w:tcPr>
          <w:p w14:paraId="047FABA4" w14:textId="77777777" w:rsidR="00B76533" w:rsidRDefault="00000000">
            <w:pPr>
              <w:keepNext/>
              <w:spacing w:after="20" w:line="252" w:lineRule="auto"/>
              <w:jc w:val="left"/>
            </w:pPr>
            <w:r>
              <w:rPr>
                <w:b/>
                <w:sz w:val="18"/>
              </w:rPr>
              <w:t>Captura del 10 % (%)</w:t>
            </w:r>
          </w:p>
        </w:tc>
      </w:tr>
      <w:tr w:rsidR="00B76533" w14:paraId="33D8A6E1" w14:textId="77777777">
        <w:trPr>
          <w:cantSplit/>
          <w:jc w:val="center"/>
        </w:trPr>
        <w:tc>
          <w:tcPr>
            <w:tcW w:w="3700" w:type="dxa"/>
            <w:tcMar>
              <w:top w:w="85" w:type="dxa"/>
              <w:left w:w="85" w:type="dxa"/>
              <w:bottom w:w="85" w:type="dxa"/>
              <w:right w:w="85" w:type="dxa"/>
            </w:tcMar>
            <w:vAlign w:val="center"/>
          </w:tcPr>
          <w:p w14:paraId="5D134A9A" w14:textId="77777777" w:rsidR="00B76533" w:rsidRDefault="00000000">
            <w:pPr>
              <w:keepNext/>
              <w:spacing w:after="20" w:line="252" w:lineRule="auto"/>
              <w:jc w:val="left"/>
            </w:pPr>
            <w:r>
              <w:rPr>
                <w:sz w:val="18"/>
              </w:rPr>
              <w:t>Prueba temporal, ancla, fondo territorial</w:t>
            </w:r>
          </w:p>
        </w:tc>
        <w:tc>
          <w:tcPr>
            <w:tcW w:w="1700" w:type="dxa"/>
            <w:tcMar>
              <w:top w:w="85" w:type="dxa"/>
              <w:left w:w="85" w:type="dxa"/>
              <w:bottom w:w="85" w:type="dxa"/>
              <w:right w:w="85" w:type="dxa"/>
            </w:tcMar>
            <w:vAlign w:val="center"/>
          </w:tcPr>
          <w:p w14:paraId="4821EEF4" w14:textId="77777777" w:rsidR="00B76533" w:rsidRDefault="00000000">
            <w:pPr>
              <w:keepNext/>
              <w:spacing w:after="20" w:line="252" w:lineRule="auto"/>
              <w:jc w:val="left"/>
            </w:pPr>
            <w:r>
              <w:rPr>
                <w:sz w:val="18"/>
              </w:rPr>
              <w:t>100 reportes; 36 bloques</w:t>
            </w:r>
          </w:p>
        </w:tc>
        <w:tc>
          <w:tcPr>
            <w:tcW w:w="1836" w:type="dxa"/>
            <w:tcMar>
              <w:top w:w="85" w:type="dxa"/>
              <w:left w:w="85" w:type="dxa"/>
              <w:bottom w:w="85" w:type="dxa"/>
              <w:right w:w="85" w:type="dxa"/>
            </w:tcMar>
            <w:vAlign w:val="center"/>
          </w:tcPr>
          <w:p w14:paraId="58D8EDE4" w14:textId="77777777" w:rsidR="00B76533" w:rsidRDefault="00000000">
            <w:pPr>
              <w:keepNext/>
              <w:spacing w:after="20" w:line="252" w:lineRule="auto"/>
              <w:jc w:val="left"/>
            </w:pPr>
            <w:r>
              <w:rPr>
                <w:sz w:val="18"/>
              </w:rPr>
              <w:t>1.960</w:t>
            </w:r>
          </w:p>
        </w:tc>
        <w:tc>
          <w:tcPr>
            <w:tcW w:w="1836" w:type="dxa"/>
            <w:tcMar>
              <w:top w:w="85" w:type="dxa"/>
              <w:left w:w="85" w:type="dxa"/>
              <w:bottom w:w="85" w:type="dxa"/>
              <w:right w:w="85" w:type="dxa"/>
            </w:tcMar>
            <w:vAlign w:val="center"/>
          </w:tcPr>
          <w:p w14:paraId="152B2936" w14:textId="77777777" w:rsidR="00B76533" w:rsidRDefault="00000000">
            <w:pPr>
              <w:keepNext/>
              <w:spacing w:after="20" w:line="252" w:lineRule="auto"/>
              <w:jc w:val="left"/>
            </w:pPr>
            <w:r>
              <w:rPr>
                <w:sz w:val="18"/>
              </w:rPr>
              <w:t>86.8</w:t>
            </w:r>
          </w:p>
        </w:tc>
      </w:tr>
      <w:tr w:rsidR="00B76533" w14:paraId="7D7675BA" w14:textId="77777777">
        <w:trPr>
          <w:cantSplit/>
          <w:jc w:val="center"/>
        </w:trPr>
        <w:tc>
          <w:tcPr>
            <w:tcW w:w="3700" w:type="dxa"/>
            <w:tcMar>
              <w:top w:w="85" w:type="dxa"/>
              <w:left w:w="85" w:type="dxa"/>
              <w:bottom w:w="85" w:type="dxa"/>
              <w:right w:w="85" w:type="dxa"/>
            </w:tcMar>
            <w:vAlign w:val="center"/>
          </w:tcPr>
          <w:p w14:paraId="1986CA4D" w14:textId="77777777" w:rsidR="00B76533" w:rsidRDefault="00000000">
            <w:pPr>
              <w:keepNext/>
              <w:spacing w:after="20" w:line="252" w:lineRule="auto"/>
              <w:jc w:val="left"/>
            </w:pPr>
            <w:r>
              <w:rPr>
                <w:sz w:val="18"/>
              </w:rPr>
              <w:t>Prueba espacial, ancla, fondo territorial</w:t>
            </w:r>
          </w:p>
        </w:tc>
        <w:tc>
          <w:tcPr>
            <w:tcW w:w="1700" w:type="dxa"/>
            <w:tcMar>
              <w:top w:w="85" w:type="dxa"/>
              <w:left w:w="85" w:type="dxa"/>
              <w:bottom w:w="85" w:type="dxa"/>
              <w:right w:w="85" w:type="dxa"/>
            </w:tcMar>
            <w:vAlign w:val="center"/>
          </w:tcPr>
          <w:p w14:paraId="630BA72A" w14:textId="77777777" w:rsidR="00B76533" w:rsidRDefault="00000000">
            <w:pPr>
              <w:keepNext/>
              <w:spacing w:after="20" w:line="252" w:lineRule="auto"/>
              <w:jc w:val="left"/>
            </w:pPr>
            <w:r>
              <w:rPr>
                <w:sz w:val="18"/>
              </w:rPr>
              <w:t>58 reportes; 13 bloques</w:t>
            </w:r>
          </w:p>
        </w:tc>
        <w:tc>
          <w:tcPr>
            <w:tcW w:w="1836" w:type="dxa"/>
            <w:tcMar>
              <w:top w:w="85" w:type="dxa"/>
              <w:left w:w="85" w:type="dxa"/>
              <w:bottom w:w="85" w:type="dxa"/>
              <w:right w:w="85" w:type="dxa"/>
            </w:tcMar>
            <w:vAlign w:val="center"/>
          </w:tcPr>
          <w:p w14:paraId="5118E321" w14:textId="77777777" w:rsidR="00B76533" w:rsidRDefault="00000000">
            <w:pPr>
              <w:keepNext/>
              <w:spacing w:after="20" w:line="252" w:lineRule="auto"/>
              <w:jc w:val="left"/>
            </w:pPr>
            <w:r>
              <w:rPr>
                <w:sz w:val="18"/>
              </w:rPr>
              <w:t>1.095</w:t>
            </w:r>
          </w:p>
        </w:tc>
        <w:tc>
          <w:tcPr>
            <w:tcW w:w="1836" w:type="dxa"/>
            <w:tcMar>
              <w:top w:w="85" w:type="dxa"/>
              <w:left w:w="85" w:type="dxa"/>
              <w:bottom w:w="85" w:type="dxa"/>
              <w:right w:w="85" w:type="dxa"/>
            </w:tcMar>
            <w:vAlign w:val="center"/>
          </w:tcPr>
          <w:p w14:paraId="42CE3FE8" w14:textId="77777777" w:rsidR="00B76533" w:rsidRDefault="00000000">
            <w:pPr>
              <w:keepNext/>
              <w:spacing w:after="20" w:line="252" w:lineRule="auto"/>
              <w:jc w:val="left"/>
            </w:pPr>
            <w:r>
              <w:rPr>
                <w:sz w:val="18"/>
              </w:rPr>
              <w:t>63.9</w:t>
            </w:r>
          </w:p>
        </w:tc>
      </w:tr>
      <w:tr w:rsidR="00B76533" w14:paraId="303E88ED" w14:textId="77777777">
        <w:trPr>
          <w:cantSplit/>
          <w:jc w:val="center"/>
        </w:trPr>
        <w:tc>
          <w:tcPr>
            <w:tcW w:w="3700" w:type="dxa"/>
            <w:tcMar>
              <w:top w:w="85" w:type="dxa"/>
              <w:left w:w="85" w:type="dxa"/>
              <w:bottom w:w="85" w:type="dxa"/>
              <w:right w:w="85" w:type="dxa"/>
            </w:tcMar>
            <w:vAlign w:val="center"/>
          </w:tcPr>
          <w:p w14:paraId="448F6797" w14:textId="77777777" w:rsidR="00B76533" w:rsidRDefault="00000000">
            <w:pPr>
              <w:keepNext/>
              <w:spacing w:after="20" w:line="252" w:lineRule="auto"/>
              <w:jc w:val="left"/>
            </w:pPr>
            <w:r>
              <w:rPr>
                <w:sz w:val="18"/>
              </w:rPr>
              <w:t>Dejando un bloque de 5 km fuera, ancla</w:t>
            </w:r>
          </w:p>
        </w:tc>
        <w:tc>
          <w:tcPr>
            <w:tcW w:w="1700" w:type="dxa"/>
            <w:tcMar>
              <w:top w:w="85" w:type="dxa"/>
              <w:left w:w="85" w:type="dxa"/>
              <w:bottom w:w="85" w:type="dxa"/>
              <w:right w:w="85" w:type="dxa"/>
            </w:tcMar>
            <w:vAlign w:val="center"/>
          </w:tcPr>
          <w:p w14:paraId="4C85F1D5" w14:textId="77777777" w:rsidR="00B76533" w:rsidRDefault="00000000">
            <w:pPr>
              <w:keepNext/>
              <w:spacing w:after="20" w:line="252" w:lineRule="auto"/>
              <w:jc w:val="left"/>
            </w:pPr>
            <w:r>
              <w:rPr>
                <w:sz w:val="18"/>
              </w:rPr>
              <w:t>331 reportes; 55 bloques</w:t>
            </w:r>
          </w:p>
        </w:tc>
        <w:tc>
          <w:tcPr>
            <w:tcW w:w="1836" w:type="dxa"/>
            <w:tcMar>
              <w:top w:w="85" w:type="dxa"/>
              <w:left w:w="85" w:type="dxa"/>
              <w:bottom w:w="85" w:type="dxa"/>
              <w:right w:w="85" w:type="dxa"/>
            </w:tcMar>
            <w:vAlign w:val="center"/>
          </w:tcPr>
          <w:p w14:paraId="499B5A63" w14:textId="77777777" w:rsidR="00B76533" w:rsidRDefault="00000000">
            <w:pPr>
              <w:keepNext/>
              <w:spacing w:after="20" w:line="252" w:lineRule="auto"/>
              <w:jc w:val="left"/>
            </w:pPr>
            <w:r>
              <w:rPr>
                <w:sz w:val="18"/>
              </w:rPr>
              <w:t>1.73 (1.36 a 2.00)</w:t>
            </w:r>
          </w:p>
        </w:tc>
        <w:tc>
          <w:tcPr>
            <w:tcW w:w="1836" w:type="dxa"/>
            <w:tcMar>
              <w:top w:w="85" w:type="dxa"/>
              <w:left w:w="85" w:type="dxa"/>
              <w:bottom w:w="85" w:type="dxa"/>
              <w:right w:w="85" w:type="dxa"/>
            </w:tcMar>
            <w:vAlign w:val="center"/>
          </w:tcPr>
          <w:p w14:paraId="67E751EB" w14:textId="77777777" w:rsidR="00B76533" w:rsidRDefault="00000000">
            <w:pPr>
              <w:keepNext/>
              <w:spacing w:after="20" w:line="252" w:lineRule="auto"/>
              <w:jc w:val="left"/>
            </w:pPr>
            <w:r>
              <w:rPr>
                <w:sz w:val="18"/>
              </w:rPr>
              <w:t>81.6 (74.7 a 86.4)</w:t>
            </w:r>
          </w:p>
        </w:tc>
      </w:tr>
      <w:tr w:rsidR="00B76533" w14:paraId="5BB9D49E" w14:textId="77777777">
        <w:trPr>
          <w:cantSplit/>
          <w:jc w:val="center"/>
        </w:trPr>
        <w:tc>
          <w:tcPr>
            <w:tcW w:w="3700" w:type="dxa"/>
            <w:tcMar>
              <w:top w:w="85" w:type="dxa"/>
              <w:left w:w="85" w:type="dxa"/>
              <w:bottom w:w="85" w:type="dxa"/>
              <w:right w:w="85" w:type="dxa"/>
            </w:tcMar>
            <w:vAlign w:val="center"/>
          </w:tcPr>
          <w:p w14:paraId="6A17BCCB" w14:textId="77777777" w:rsidR="00B76533" w:rsidRDefault="00000000">
            <w:pPr>
              <w:keepNext/>
              <w:spacing w:after="20" w:line="252" w:lineRule="auto"/>
              <w:jc w:val="left"/>
            </w:pPr>
            <w:r>
              <w:rPr>
                <w:sz w:val="18"/>
              </w:rPr>
              <w:t>Prueba temporal, dentro del construido alto</w:t>
            </w:r>
          </w:p>
        </w:tc>
        <w:tc>
          <w:tcPr>
            <w:tcW w:w="1700" w:type="dxa"/>
            <w:tcMar>
              <w:top w:w="85" w:type="dxa"/>
              <w:left w:w="85" w:type="dxa"/>
              <w:bottom w:w="85" w:type="dxa"/>
              <w:right w:w="85" w:type="dxa"/>
            </w:tcMar>
            <w:vAlign w:val="center"/>
          </w:tcPr>
          <w:p w14:paraId="2BB2A9A3" w14:textId="77777777" w:rsidR="00B76533" w:rsidRDefault="00000000">
            <w:pPr>
              <w:keepNext/>
              <w:spacing w:after="20" w:line="252" w:lineRule="auto"/>
              <w:jc w:val="left"/>
            </w:pPr>
            <w:r>
              <w:rPr>
                <w:sz w:val="18"/>
              </w:rPr>
              <w:t>95 reportes</w:t>
            </w:r>
          </w:p>
        </w:tc>
        <w:tc>
          <w:tcPr>
            <w:tcW w:w="1836" w:type="dxa"/>
            <w:tcMar>
              <w:top w:w="85" w:type="dxa"/>
              <w:left w:w="85" w:type="dxa"/>
              <w:bottom w:w="85" w:type="dxa"/>
              <w:right w:w="85" w:type="dxa"/>
            </w:tcMar>
            <w:vAlign w:val="center"/>
          </w:tcPr>
          <w:p w14:paraId="0022AFA8" w14:textId="77777777" w:rsidR="00B76533" w:rsidRDefault="00000000">
            <w:pPr>
              <w:keepNext/>
              <w:spacing w:after="20" w:line="252" w:lineRule="auto"/>
              <w:jc w:val="left"/>
            </w:pPr>
            <w:r>
              <w:rPr>
                <w:sz w:val="18"/>
              </w:rPr>
              <w:t>0.33</w:t>
            </w:r>
          </w:p>
        </w:tc>
        <w:tc>
          <w:tcPr>
            <w:tcW w:w="1836" w:type="dxa"/>
            <w:tcMar>
              <w:top w:w="85" w:type="dxa"/>
              <w:left w:w="85" w:type="dxa"/>
              <w:bottom w:w="85" w:type="dxa"/>
              <w:right w:w="85" w:type="dxa"/>
            </w:tcMar>
            <w:vAlign w:val="center"/>
          </w:tcPr>
          <w:p w14:paraId="4DB9608D" w14:textId="77777777" w:rsidR="00B76533" w:rsidRDefault="00000000">
            <w:pPr>
              <w:keepNext/>
              <w:spacing w:after="20" w:line="252" w:lineRule="auto"/>
              <w:jc w:val="left"/>
            </w:pPr>
            <w:r>
              <w:rPr>
                <w:sz w:val="18"/>
              </w:rPr>
              <w:t>19.9</w:t>
            </w:r>
          </w:p>
        </w:tc>
      </w:tr>
      <w:tr w:rsidR="00B76533" w14:paraId="63E50801" w14:textId="77777777">
        <w:trPr>
          <w:cantSplit/>
          <w:jc w:val="center"/>
        </w:trPr>
        <w:tc>
          <w:tcPr>
            <w:tcW w:w="3700" w:type="dxa"/>
            <w:tcMar>
              <w:top w:w="85" w:type="dxa"/>
              <w:left w:w="85" w:type="dxa"/>
              <w:bottom w:w="85" w:type="dxa"/>
              <w:right w:w="85" w:type="dxa"/>
            </w:tcMar>
            <w:vAlign w:val="center"/>
          </w:tcPr>
          <w:p w14:paraId="031E9FFF" w14:textId="77777777" w:rsidR="00B76533" w:rsidRDefault="00000000">
            <w:pPr>
              <w:keepNext/>
              <w:spacing w:after="20" w:line="252" w:lineRule="auto"/>
              <w:jc w:val="left"/>
            </w:pPr>
            <w:r>
              <w:rPr>
                <w:sz w:val="18"/>
              </w:rPr>
              <w:t>Prueba espacial, dentro del construido alto</w:t>
            </w:r>
          </w:p>
        </w:tc>
        <w:tc>
          <w:tcPr>
            <w:tcW w:w="1700" w:type="dxa"/>
            <w:tcMar>
              <w:top w:w="85" w:type="dxa"/>
              <w:left w:w="85" w:type="dxa"/>
              <w:bottom w:w="85" w:type="dxa"/>
              <w:right w:w="85" w:type="dxa"/>
            </w:tcMar>
            <w:vAlign w:val="center"/>
          </w:tcPr>
          <w:p w14:paraId="48ECB102" w14:textId="77777777" w:rsidR="00B76533" w:rsidRDefault="00000000">
            <w:pPr>
              <w:keepNext/>
              <w:spacing w:after="20" w:line="252" w:lineRule="auto"/>
              <w:jc w:val="left"/>
            </w:pPr>
            <w:r>
              <w:rPr>
                <w:sz w:val="18"/>
              </w:rPr>
              <w:t>48 reportes</w:t>
            </w:r>
          </w:p>
        </w:tc>
        <w:tc>
          <w:tcPr>
            <w:tcW w:w="1836" w:type="dxa"/>
            <w:tcMar>
              <w:top w:w="85" w:type="dxa"/>
              <w:left w:w="85" w:type="dxa"/>
              <w:bottom w:w="85" w:type="dxa"/>
              <w:right w:w="85" w:type="dxa"/>
            </w:tcMar>
            <w:vAlign w:val="center"/>
          </w:tcPr>
          <w:p w14:paraId="3B4F7C7C" w14:textId="77777777" w:rsidR="00B76533" w:rsidRDefault="00000000">
            <w:pPr>
              <w:keepNext/>
              <w:spacing w:after="20" w:line="252" w:lineRule="auto"/>
              <w:jc w:val="left"/>
            </w:pPr>
            <w:r>
              <w:rPr>
                <w:sz w:val="18"/>
              </w:rPr>
              <w:t>−0.10</w:t>
            </w:r>
          </w:p>
        </w:tc>
        <w:tc>
          <w:tcPr>
            <w:tcW w:w="1836" w:type="dxa"/>
            <w:tcMar>
              <w:top w:w="85" w:type="dxa"/>
              <w:left w:w="85" w:type="dxa"/>
              <w:bottom w:w="85" w:type="dxa"/>
              <w:right w:w="85" w:type="dxa"/>
            </w:tcMar>
            <w:vAlign w:val="center"/>
          </w:tcPr>
          <w:p w14:paraId="73677AF5" w14:textId="77777777" w:rsidR="00B76533" w:rsidRDefault="00000000">
            <w:pPr>
              <w:keepNext/>
              <w:spacing w:after="20" w:line="252" w:lineRule="auto"/>
              <w:jc w:val="left"/>
            </w:pPr>
            <w:r>
              <w:rPr>
                <w:sz w:val="18"/>
              </w:rPr>
              <w:t>14.1</w:t>
            </w:r>
          </w:p>
        </w:tc>
      </w:tr>
      <w:tr w:rsidR="00B76533" w14:paraId="426B0FF0" w14:textId="77777777">
        <w:trPr>
          <w:cantSplit/>
          <w:jc w:val="center"/>
        </w:trPr>
        <w:tc>
          <w:tcPr>
            <w:tcW w:w="3700" w:type="dxa"/>
            <w:tcMar>
              <w:top w:w="85" w:type="dxa"/>
              <w:left w:w="85" w:type="dxa"/>
              <w:bottom w:w="85" w:type="dxa"/>
              <w:right w:w="85" w:type="dxa"/>
            </w:tcMar>
            <w:vAlign w:val="center"/>
          </w:tcPr>
          <w:p w14:paraId="64710A11" w14:textId="77777777" w:rsidR="00B76533" w:rsidRDefault="00000000">
            <w:pPr>
              <w:keepNext/>
              <w:spacing w:after="20" w:line="252" w:lineRule="auto"/>
              <w:jc w:val="left"/>
            </w:pPr>
            <w:r>
              <w:rPr>
                <w:sz w:val="18"/>
              </w:rPr>
              <w:t>Eventos del COE de 2022 a mayo de 2024, dentro del construido</w:t>
            </w:r>
          </w:p>
        </w:tc>
        <w:tc>
          <w:tcPr>
            <w:tcW w:w="1700" w:type="dxa"/>
            <w:tcMar>
              <w:top w:w="85" w:type="dxa"/>
              <w:left w:w="85" w:type="dxa"/>
              <w:bottom w:w="85" w:type="dxa"/>
              <w:right w:w="85" w:type="dxa"/>
            </w:tcMar>
            <w:vAlign w:val="center"/>
          </w:tcPr>
          <w:p w14:paraId="5F9C2A1B" w14:textId="77777777" w:rsidR="00B76533" w:rsidRDefault="00000000">
            <w:pPr>
              <w:keepNext/>
              <w:spacing w:after="20" w:line="252" w:lineRule="auto"/>
              <w:jc w:val="left"/>
            </w:pPr>
            <w:r>
              <w:rPr>
                <w:sz w:val="18"/>
              </w:rPr>
              <w:t>659 eventos</w:t>
            </w:r>
          </w:p>
        </w:tc>
        <w:tc>
          <w:tcPr>
            <w:tcW w:w="1836" w:type="dxa"/>
            <w:tcMar>
              <w:top w:w="85" w:type="dxa"/>
              <w:left w:w="85" w:type="dxa"/>
              <w:bottom w:w="85" w:type="dxa"/>
              <w:right w:w="85" w:type="dxa"/>
            </w:tcMar>
            <w:vAlign w:val="center"/>
          </w:tcPr>
          <w:p w14:paraId="05083849" w14:textId="77777777" w:rsidR="00B76533" w:rsidRDefault="00000000">
            <w:pPr>
              <w:keepNext/>
              <w:spacing w:after="20" w:line="252" w:lineRule="auto"/>
              <w:jc w:val="left"/>
            </w:pPr>
            <w:r>
              <w:rPr>
                <w:sz w:val="18"/>
              </w:rPr>
              <w:t>0.03 (−0.18 a 0.19)</w:t>
            </w:r>
          </w:p>
        </w:tc>
        <w:tc>
          <w:tcPr>
            <w:tcW w:w="1836" w:type="dxa"/>
            <w:tcMar>
              <w:top w:w="85" w:type="dxa"/>
              <w:left w:w="85" w:type="dxa"/>
              <w:bottom w:w="85" w:type="dxa"/>
              <w:right w:w="85" w:type="dxa"/>
            </w:tcMar>
            <w:vAlign w:val="center"/>
          </w:tcPr>
          <w:p w14:paraId="27640045" w14:textId="77777777" w:rsidR="00B76533" w:rsidRDefault="00000000">
            <w:pPr>
              <w:keepNext/>
              <w:spacing w:after="20" w:line="252" w:lineRule="auto"/>
              <w:jc w:val="left"/>
            </w:pPr>
            <w:r>
              <w:rPr>
                <w:sz w:val="18"/>
              </w:rPr>
              <w:t>19.1 (12.0 a 26.0)</w:t>
            </w:r>
          </w:p>
        </w:tc>
      </w:tr>
    </w:tbl>
    <w:p w14:paraId="204F3EDC" w14:textId="77777777" w:rsidR="00B76533" w:rsidRDefault="00000000">
      <w:pPr>
        <w:spacing w:before="100"/>
      </w:pPr>
      <w:r>
        <w:rPr>
          <w:sz w:val="18"/>
        </w:rPr>
        <w:t>Fuente: evaluación del estudio y eventos de inundación del COE municipal. Elaboración propia. Azar: log densidad 0 y captura 10 %. Intervalos del 95 %: bootstrap por bloques de 5 km. Las pruebas dentro del construido restringen el fondo al mismo estrato de densidad construida. Detalles en las secciones S3, S4, S6, S8 y S9.</w:t>
      </w:r>
    </w:p>
    <w:p w14:paraId="1B2B3B24" w14:textId="77777777" w:rsidR="00B76533" w:rsidRDefault="00000000">
      <w:pPr>
        <w:pStyle w:val="Ttulo1"/>
      </w:pPr>
      <w:r>
        <w:t>4 Discusión</w:t>
      </w:r>
    </w:p>
    <w:p w14:paraId="648896EA" w14:textId="77777777" w:rsidR="00B76533" w:rsidRDefault="00000000">
      <w:pPr>
        <w:pStyle w:val="Ttulo2"/>
      </w:pPr>
      <w:r>
        <w:t>4.1 Implicaciones para la preparación</w:t>
      </w:r>
    </w:p>
    <w:p w14:paraId="671269BE" w14:textId="77777777" w:rsidR="00B76533" w:rsidRDefault="00000000">
      <w:r>
        <w:t>Los resultados indican que la preparación depende del objetivo social elegido aun cuando la información física se mantenga constante, en línea con la integración de vulnerabilidad y exposición de Fox et al. (2024) y Rentschler et al. (2022). Incorporar el NBI no reemplaza el criterio de extensión: lo complementa y hace visibles los márgenes donde cambia la decisión. El saneamiento produce la mayor redistribución, lo que sugiere conservar dimensiones específicas junto con el NBI agregado, porque una preparación dirigida a servicios requiere conocer qué carencia guía la atención.</w:t>
      </w:r>
    </w:p>
    <w:p w14:paraId="486F9CF4" w14:textId="77777777" w:rsidR="00B76533" w:rsidRDefault="00000000">
      <w:r>
        <w:t>La estabilidad debe leerse con dos criterios. Siete parroquias son estables frente a modelo y lluvia y otras siete frente a la muestra de reportes; solo cuatro cumplen ambos y constituyen un conjunto inicial razonable para la revisión territorial. Las incorporaciones por NBI (Pomasqui y Tumbaco) y la salida de Iñaquito y Kennedy son resultados de margen, sensibles a la muestra y a la escala del NBI, y deben comunicarse como tales. Al variar además la clase de modelo territorial, el núcleo estable se reduce a Guamaní, La Ecuatoriana y Quitumbe, con Turubamba en 14 de 15 combinaciones y Conocoto y Amaguaña en 13.</w:t>
      </w:r>
    </w:p>
    <w:p w14:paraId="7CE50AF0" w14:textId="77777777" w:rsidR="00B76533" w:rsidRDefault="00000000">
      <w:r>
        <w:t>La evidencia económica ecuatoriana citada en la introducción (Canavire-Bacarreza et al., 2026; Llerena Pinto et al., 2025; Rosales-Rueda, 2018) sugiere por qué las prioridades deben considerar condiciones de respuesta y no solo exposición. Nuestro cruce censal no observa ingresos ni composición laboral dentro del decil, por lo que esa vía queda como motivación para vincular observaciones de hogares en episodios nuevos y no como estimación de pérdidas.</w:t>
      </w:r>
    </w:p>
    <w:p w14:paraId="79E19245" w14:textId="77777777" w:rsidR="00B76533" w:rsidRDefault="00000000">
      <w:r>
        <w:t>La evaluación debe distinguirse de la segmentación de agua observada por satélite (Misra et al., 2025; Tellman et al., 2021) y de la modelación física (Bentivoglio et al., 2022). Nuestro resultado concierne a la concentración relativa de reportes y no a la extensión, la profundidad o los daños; una validación física independiente en Quito requeriría referencias pre, durante y post compatibles.</w:t>
      </w:r>
    </w:p>
    <w:p w14:paraId="5DB54F49" w14:textId="77777777" w:rsidR="00B76533" w:rsidRDefault="00000000">
      <w:pPr>
        <w:pStyle w:val="Ttulo2"/>
      </w:pPr>
      <w:r>
        <w:t>4.2 Limitaciones</w:t>
      </w:r>
    </w:p>
    <w:p w14:paraId="0FAF84DB" w14:textId="77777777" w:rsidR="00B76533" w:rsidRDefault="00000000">
      <w:r>
        <w:t xml:space="preserve">Primero, la muestra de reportes es pequeña (331, con pruebas de 100 y 58) y refleja también el acceso al registro, por lo que los intervalos son anchos y el mapa puede describir parcialmente dónde se reporta. </w:t>
      </w:r>
      <w:r>
        <w:lastRenderedPageBreak/>
        <w:t>Segundo, la evaluación es retrospectiva: la cobertura de 2021, la vialidad de 2024 y el Censo 2022 no certifican las condiciones de cada reporte, la variante aplicada se fijó después de examinar versiones anteriores y los modelos simples de la tabla S4 se definieron después de observar la prueba. Tercero, el NBI es una tasa agregada que no identifica qué hogar reside en un píxel susceptible (Robinson, 1950), y el reparto de los sectores divididos por población es una aproximación que afecta a 0.7 % de los hogares. Cuarto, el COE y el SNGR pueden compartir eventos, de modo que la validación con el COE es solo parcialmente independiente. Quinto, la lluvia se resuelve en celdas meteorológicas gruesas y el relieve conserva un soporte de 30 m dentro de una malla de 10 m. Sexto, dos covariables de construido son colineales (factor de inflación de la varianza mayor que 10), de modo que sus coeficientes no deben interpretarse por separado, y la dependencia espacial de los eventos del COE (efecto de diseño de 2.6 a 4.3) reduce el tamaño efectivo de 659 a 255 eventos (sección S8). Por último, el estudio no estima extensión inundada, profundidad, daños ni personas afectadas; la validación con radar (sección S9) es un contraste de señal con resolución de 80 m y no una cartografía de inundación.</w:t>
      </w:r>
    </w:p>
    <w:p w14:paraId="5B887729" w14:textId="77777777" w:rsidR="00B76533" w:rsidRDefault="00000000">
      <w:pPr>
        <w:pStyle w:val="Ttulo1"/>
      </w:pPr>
      <w:r>
        <w:t>5 Conclusiones</w:t>
      </w:r>
    </w:p>
    <w:p w14:paraId="1D50432D" w14:textId="77777777" w:rsidR="00B76533" w:rsidRDefault="00000000">
      <w:r>
        <w:t>Este estudio evaluó cómo cambia la prioridad parroquial de preparación ante inundaciones en Quito al incorporar la privación social. Incorporar el NBI por hogar cambia dos de las 13 parroquias seleccionadas y aumenta 1.48 % el índice social cubierto a cambio de reducir 3.10 % el área ponderada por lluvia; el saneamiento produce una redistribución mayor que el NBI total.</w:t>
      </w:r>
    </w:p>
    <w:p w14:paraId="2B2DE2AD" w14:textId="77777777" w:rsidR="00B76533" w:rsidRDefault="00000000">
      <w:r>
        <w:t>El resultado debe leerse con su incertidumbre. La cabeza del ranking es robusta (Guamaní, La Ecuatoriana, Conocoto y Amaguaña son estables frente a modelo, lluvia y muestra), mientras que las incorporaciones por NBI dependen de la muestra de reportes y de la escala con que se mide la privación. El NBI recalculado desde microdatos coincide con el INEC y corrige una inconsistencia que afectaba a 28 parroquias sin cambiar las 13 prioritarias. Al sustituir el ancla por otras clases de modelo, solo Guamaní, La Ecuatoriana y Quitumbe permanecen siempre entre las 13, de modo que la priorización de los márgenes depende también de la forma del modelo.</w:t>
      </w:r>
    </w:p>
    <w:p w14:paraId="1A5DCBB6" w14:textId="77777777" w:rsidR="00B76533" w:rsidRDefault="00000000">
      <w:r>
        <w:t>La capacidad del modelo para discriminar dentro del construido es modesta, de modo que la priorización es un orden relativo de revisión y no una probabilidad de inundación. Las pruebas posestimación (sección S8) muestran que ese desempeño descansa en tres covariables (relieve local, construido a 100 m y distancia a vías), que ningún bloque de 5 km lo determina y que se mantiene en los 15 años de eventos del COE; también muestran que la penalización y el temperado publicados no son óptimos fuera de la zona de entrenamiento. Los pasos siguientes son validar con registros de eventos con fecha y dirección y con cartografía de inundación de mayor resolución que la de Sentinel-1, medir la privación en hogares dentro de cada sector censal y vincular observaciones de hogares y servicios antes y después de episodios nuevos.</w:t>
      </w:r>
    </w:p>
    <w:p w14:paraId="6AD4C972" w14:textId="77777777" w:rsidR="00B76533" w:rsidRDefault="00000000">
      <w:pPr>
        <w:pStyle w:val="Ttulo1"/>
      </w:pPr>
      <w:r>
        <w:t>Referencias</w:t>
      </w:r>
    </w:p>
    <w:p w14:paraId="00411B98" w14:textId="77777777" w:rsidR="00B76533" w:rsidRDefault="00000000">
      <w:pPr>
        <w:ind w:left="360" w:hanging="360"/>
        <w:jc w:val="left"/>
      </w:pPr>
      <w:r>
        <w:rPr>
          <w:sz w:val="20"/>
        </w:rPr>
        <w:t xml:space="preserve">Arechúa-Mazón, P., Cisneros-Vaca, C., Calahorrano-González, J., &amp; Manzano-Cepeda, M. (2025). Assessment of satellite precipitation products in an Andean catchment: Ambato River basin, Ecuador. </w:t>
      </w:r>
      <w:r>
        <w:rPr>
          <w:i/>
          <w:sz w:val="20"/>
        </w:rPr>
        <w:t>Hydrology, 12</w:t>
      </w:r>
      <w:r>
        <w:rPr>
          <w:sz w:val="20"/>
        </w:rPr>
        <w:t>(9), Article 225. https://doi.org/10.3390/hydrology12090225</w:t>
      </w:r>
    </w:p>
    <w:p w14:paraId="5CCC4F63" w14:textId="77777777" w:rsidR="00B76533" w:rsidRDefault="00000000">
      <w:pPr>
        <w:ind w:left="360" w:hanging="360"/>
        <w:jc w:val="left"/>
      </w:pPr>
      <w:r>
        <w:rPr>
          <w:sz w:val="20"/>
        </w:rPr>
        <w:t xml:space="preserve">Becker, E., &amp; van den Dool, H. (2016). Probabilistic seasonal forecasts in the North American Multimodel Ensemble: A baseline skill assessment. </w:t>
      </w:r>
      <w:r>
        <w:rPr>
          <w:i/>
          <w:sz w:val="20"/>
        </w:rPr>
        <w:t>Journal of Climate, 29</w:t>
      </w:r>
      <w:r>
        <w:rPr>
          <w:sz w:val="20"/>
        </w:rPr>
        <w:t>(8), 3015-3026. https://doi.org/10.1175/jcli-d-14-00862.1</w:t>
      </w:r>
    </w:p>
    <w:p w14:paraId="250E7983" w14:textId="77777777" w:rsidR="00B76533" w:rsidRDefault="00000000">
      <w:pPr>
        <w:ind w:left="360" w:hanging="360"/>
        <w:jc w:val="left"/>
      </w:pPr>
      <w:r>
        <w:rPr>
          <w:sz w:val="20"/>
        </w:rPr>
        <w:t xml:space="preserve">Bentivoglio, R., Isufi, E., Jonkman, S. N., &amp; Taormina, R. (2022). Deep learning methods for flood mapping: a review of existing applications and future research directions. </w:t>
      </w:r>
      <w:r>
        <w:rPr>
          <w:i/>
          <w:sz w:val="20"/>
        </w:rPr>
        <w:t>Hydrology and Earth System Sciences, 26</w:t>
      </w:r>
      <w:r>
        <w:rPr>
          <w:sz w:val="20"/>
        </w:rPr>
        <w:t>(16), 4345-4378. https://doi.org/10.5194/hess-26-4345-2022</w:t>
      </w:r>
    </w:p>
    <w:p w14:paraId="375851B6" w14:textId="77777777" w:rsidR="00B76533" w:rsidRDefault="00000000">
      <w:pPr>
        <w:ind w:left="360" w:hanging="360"/>
        <w:jc w:val="left"/>
      </w:pPr>
      <w:r>
        <w:rPr>
          <w:sz w:val="20"/>
        </w:rPr>
        <w:lastRenderedPageBreak/>
        <w:t xml:space="preserve">Canavire-Bacarreza, G., Puerta-Cuartas, A., &amp; Ramos, A. (2026). Here comes the rain: Precipitation shocks and economic outcomes in Ecuador. </w:t>
      </w:r>
      <w:r>
        <w:rPr>
          <w:i/>
          <w:sz w:val="20"/>
        </w:rPr>
        <w:t>World Development, 206</w:t>
      </w:r>
      <w:r>
        <w:rPr>
          <w:sz w:val="20"/>
        </w:rPr>
        <w:t>, Article 107468. https://doi.org/10.1016/j.worlddev.2026.107468</w:t>
      </w:r>
    </w:p>
    <w:p w14:paraId="524372A8" w14:textId="77777777" w:rsidR="00B76533" w:rsidRDefault="00000000">
      <w:pPr>
        <w:ind w:left="360" w:hanging="360"/>
        <w:jc w:val="left"/>
      </w:pPr>
      <w:r>
        <w:rPr>
          <w:sz w:val="20"/>
        </w:rPr>
        <w:t xml:space="preserve">Climate Hazards Center. (s. f.). </w:t>
      </w:r>
      <w:r>
        <w:rPr>
          <w:i/>
          <w:sz w:val="20"/>
        </w:rPr>
        <w:t>CHIRPS3 daily rainfall RNL</w:t>
      </w:r>
      <w:r>
        <w:rPr>
          <w:sz w:val="20"/>
        </w:rPr>
        <w:t>. https://developers.google.com/earth-engine/datasets/catalog/UCSB-CHC_CHIRPS_V3_DAILY_RNL</w:t>
      </w:r>
    </w:p>
    <w:p w14:paraId="00927213" w14:textId="77777777" w:rsidR="00B76533" w:rsidRDefault="00000000">
      <w:pPr>
        <w:ind w:left="360" w:hanging="360"/>
        <w:jc w:val="left"/>
      </w:pPr>
      <w:r>
        <w:rPr>
          <w:sz w:val="20"/>
        </w:rPr>
        <w:t xml:space="preserve">Climate Prediction Center. (s. f.-a). </w:t>
      </w:r>
      <w:r>
        <w:rPr>
          <w:i/>
          <w:sz w:val="20"/>
        </w:rPr>
        <w:t>Monthly OISST Niño indices</w:t>
      </w:r>
      <w:r>
        <w:rPr>
          <w:sz w:val="20"/>
        </w:rPr>
        <w:t>. https://www.cpc.ncep.noaa.gov/data/indices/sstoi.indices</w:t>
      </w:r>
    </w:p>
    <w:p w14:paraId="0D2EEA9E" w14:textId="77777777" w:rsidR="00B76533" w:rsidRDefault="00000000">
      <w:pPr>
        <w:ind w:left="360" w:hanging="360"/>
        <w:jc w:val="left"/>
      </w:pPr>
      <w:r>
        <w:rPr>
          <w:sz w:val="20"/>
        </w:rPr>
        <w:t xml:space="preserve">Climate Prediction Center. (s. f.-b). </w:t>
      </w:r>
      <w:r>
        <w:rPr>
          <w:i/>
          <w:sz w:val="20"/>
        </w:rPr>
        <w:t>North American Multimodel Ensemble archived real-time anomalies</w:t>
      </w:r>
      <w:r>
        <w:rPr>
          <w:sz w:val="20"/>
        </w:rPr>
        <w:t>. https://ftp.cpc.ncep.noaa.gov/NMME/realtime_anom/ENSMEAN/</w:t>
      </w:r>
    </w:p>
    <w:p w14:paraId="5BEB6D37" w14:textId="77777777" w:rsidR="00B76533" w:rsidRDefault="00000000">
      <w:pPr>
        <w:ind w:left="360" w:hanging="360"/>
        <w:jc w:val="left"/>
      </w:pPr>
      <w:r>
        <w:rPr>
          <w:sz w:val="20"/>
        </w:rPr>
        <w:t xml:space="preserve">Copernicus. (s. f.). </w:t>
      </w:r>
      <w:r>
        <w:rPr>
          <w:i/>
          <w:sz w:val="20"/>
        </w:rPr>
        <w:t>Copernicus DEM Global and European Digital Elevation Model</w:t>
      </w:r>
      <w:r>
        <w:rPr>
          <w:sz w:val="20"/>
        </w:rPr>
        <w:t>. https://dataspace.copernicus.eu/explore-data/data-collections/copernicus-contributing-missions/collections-description/COP-DEM</w:t>
      </w:r>
    </w:p>
    <w:p w14:paraId="71C9B6B3" w14:textId="77777777" w:rsidR="00B76533" w:rsidRDefault="00000000">
      <w:pPr>
        <w:ind w:left="360" w:hanging="360"/>
        <w:jc w:val="left"/>
      </w:pPr>
      <w:r>
        <w:rPr>
          <w:sz w:val="20"/>
        </w:rPr>
        <w:t xml:space="preserve">Cutter, S. L., Boruff, B. J., &amp; Shirley, W. L. (2003). Social vulnerability to environmental hazards. </w:t>
      </w:r>
      <w:r>
        <w:rPr>
          <w:i/>
          <w:sz w:val="20"/>
        </w:rPr>
        <w:t>Social Science Quarterly, 84</w:t>
      </w:r>
      <w:r>
        <w:rPr>
          <w:sz w:val="20"/>
        </w:rPr>
        <w:t>(2), 242-261. https://doi.org/10.1111/1540-6237.8402002</w:t>
      </w:r>
    </w:p>
    <w:p w14:paraId="6272DFD8" w14:textId="77777777" w:rsidR="00B76533" w:rsidRDefault="00000000">
      <w:pPr>
        <w:ind w:left="360" w:hanging="360"/>
        <w:jc w:val="left"/>
      </w:pPr>
      <w:r>
        <w:rPr>
          <w:sz w:val="20"/>
        </w:rPr>
        <w:t>Efron, B. (1979). Bootstrap methods: Another look at the jackknife. The Annals of Statistics, 7(1), 1-26. https://doi.org/10.1214/aos/1176344552</w:t>
      </w:r>
    </w:p>
    <w:p w14:paraId="6C02542E" w14:textId="77777777" w:rsidR="00B76533" w:rsidRDefault="00000000">
      <w:pPr>
        <w:ind w:left="360" w:hanging="360"/>
        <w:jc w:val="left"/>
      </w:pPr>
      <w:r>
        <w:rPr>
          <w:sz w:val="20"/>
        </w:rPr>
        <w:t xml:space="preserve">Fox, S., Agyemang, F., Hawker, L., &amp; Neal, J. (2024). Integrating social vulnerability into high-resolution global flood risk mapping. </w:t>
      </w:r>
      <w:r>
        <w:rPr>
          <w:i/>
          <w:sz w:val="20"/>
        </w:rPr>
        <w:t>Nature Communications, 15</w:t>
      </w:r>
      <w:r>
        <w:rPr>
          <w:sz w:val="20"/>
        </w:rPr>
        <w:t>, Article 3155. https://doi.org/10.1038/s41467-024-47394-2</w:t>
      </w:r>
    </w:p>
    <w:p w14:paraId="30646C70" w14:textId="77777777" w:rsidR="00B76533" w:rsidRDefault="00000000">
      <w:pPr>
        <w:ind w:left="360" w:hanging="360"/>
        <w:jc w:val="left"/>
      </w:pPr>
      <w:r>
        <w:rPr>
          <w:sz w:val="20"/>
        </w:rPr>
        <w:t xml:space="preserve">Funk, C., Peterson, P., Harrison, L., Saldivar, R., Landsfeld, M., Pedreros, D., Shukla, S., Fink, A. H., Davenport, F., Peterson, S., Turner, W., Sonnier, A., Budde, M., Tabor, K., Verdin, J., Hauzaree, D., Naim, M., Alaso, D., &amp; Husak, G. (2026). The Climate Hazards Center Infrared Precipitation with Stations, Version 3. </w:t>
      </w:r>
      <w:r>
        <w:rPr>
          <w:i/>
          <w:sz w:val="20"/>
        </w:rPr>
        <w:t>Scientific Data, 13</w:t>
      </w:r>
      <w:r>
        <w:rPr>
          <w:sz w:val="20"/>
        </w:rPr>
        <w:t>, Article 718. https://doi.org/10.1038/s41597-026-07096-4</w:t>
      </w:r>
    </w:p>
    <w:p w14:paraId="17A0C49B" w14:textId="77777777" w:rsidR="00B76533" w:rsidRDefault="00000000">
      <w:pPr>
        <w:ind w:left="360" w:hanging="360"/>
        <w:jc w:val="left"/>
      </w:pPr>
      <w:r>
        <w:rPr>
          <w:sz w:val="20"/>
        </w:rPr>
        <w:t xml:space="preserve">Gneiting, T., &amp; Raftery, A. E. (2007). Strictly proper scoring rules, prediction, and estimation. </w:t>
      </w:r>
      <w:r>
        <w:rPr>
          <w:i/>
          <w:sz w:val="20"/>
        </w:rPr>
        <w:t>Journal of the American Statistical Association, 102</w:t>
      </w:r>
      <w:r>
        <w:rPr>
          <w:sz w:val="20"/>
        </w:rPr>
        <w:t>(477), 359-378. https://doi.org/10.1198/016214506000001437</w:t>
      </w:r>
    </w:p>
    <w:p w14:paraId="0DA31F77" w14:textId="77777777" w:rsidR="00B76533" w:rsidRDefault="00000000">
      <w:pPr>
        <w:ind w:left="360" w:hanging="360"/>
        <w:jc w:val="left"/>
      </w:pPr>
      <w:r>
        <w:rPr>
          <w:sz w:val="20"/>
        </w:rPr>
        <w:t xml:space="preserve">Hawker, L., Uhe, P., Paulo, L., Sosa, J., Savage, J., Sampson, C., &amp; Neal, J. (2022). A 30 m global map of elevation with forests and buildings removed. </w:t>
      </w:r>
      <w:r>
        <w:rPr>
          <w:i/>
          <w:sz w:val="20"/>
        </w:rPr>
        <w:t>Environmental Research Letters, 17</w:t>
      </w:r>
      <w:r>
        <w:rPr>
          <w:sz w:val="20"/>
        </w:rPr>
        <w:t>(2), Article 024016. https://doi.org/10.1088/1748-9326/ac4d4f</w:t>
      </w:r>
    </w:p>
    <w:p w14:paraId="45FAD1B3" w14:textId="77777777" w:rsidR="00B76533" w:rsidRDefault="00000000">
      <w:pPr>
        <w:ind w:left="360" w:hanging="360"/>
        <w:jc w:val="left"/>
      </w:pPr>
      <w:r>
        <w:rPr>
          <w:sz w:val="20"/>
        </w:rPr>
        <w:t xml:space="preserve">Huber Magoffin, R., Hales, R. C., Erazo, B., Nelson, E. J., Larco, K., &amp; Miskin, T. J. (2023). Evaluating the performance of satellite derived temperature and precipitation datasets in Ecuador. </w:t>
      </w:r>
      <w:r>
        <w:rPr>
          <w:i/>
          <w:sz w:val="20"/>
        </w:rPr>
        <w:t>Remote Sensing, 15</w:t>
      </w:r>
      <w:r>
        <w:rPr>
          <w:sz w:val="20"/>
        </w:rPr>
        <w:t>(24), Article 5713. https://doi.org/10.3390/rs15245713</w:t>
      </w:r>
    </w:p>
    <w:p w14:paraId="424BA614" w14:textId="77777777" w:rsidR="00B76533" w:rsidRDefault="00000000">
      <w:pPr>
        <w:ind w:left="360" w:hanging="360"/>
        <w:jc w:val="left"/>
      </w:pPr>
      <w:r>
        <w:rPr>
          <w:sz w:val="20"/>
        </w:rPr>
        <w:t xml:space="preserve">Instituto Nacional de Estadística y Censos. (2024). </w:t>
      </w:r>
      <w:r>
        <w:rPr>
          <w:i/>
          <w:sz w:val="20"/>
        </w:rPr>
        <w:t>Pobreza por necesidades básicas insatisfechas Una mirada desde el Censo 2022</w:t>
      </w:r>
      <w:r>
        <w:rPr>
          <w:sz w:val="20"/>
        </w:rPr>
        <w:t>. https://www.ecuadorencifras.gob.ec/documentos/web-inec/Censo2022/Documento_NBI_24.09.25.pdf</w:t>
      </w:r>
    </w:p>
    <w:p w14:paraId="6B2F363D" w14:textId="77777777" w:rsidR="00B76533" w:rsidRDefault="00000000">
      <w:pPr>
        <w:ind w:left="360" w:hanging="360"/>
        <w:jc w:val="left"/>
      </w:pPr>
      <w:r>
        <w:rPr>
          <w:sz w:val="20"/>
        </w:rPr>
        <w:t xml:space="preserve">Iza-Wong, A., Moldovan, G., Bouallegue, Z. B., Hemingway, R., Chantry, M., &amp; Lavers, D. A. (2026). Evaluation of precipitation observations across Ecuador. </w:t>
      </w:r>
      <w:r>
        <w:rPr>
          <w:i/>
          <w:sz w:val="20"/>
        </w:rPr>
        <w:t>Atmospheric Science Letters, 27</w:t>
      </w:r>
      <w:r>
        <w:rPr>
          <w:sz w:val="20"/>
        </w:rPr>
        <w:t>(1), Article e70002. https://doi.org/10.1002/asl.70002</w:t>
      </w:r>
    </w:p>
    <w:p w14:paraId="0D40AE5C" w14:textId="77777777" w:rsidR="00B76533" w:rsidRDefault="00000000">
      <w:pPr>
        <w:ind w:left="360" w:hanging="360"/>
        <w:jc w:val="left"/>
      </w:pPr>
      <w:r>
        <w:rPr>
          <w:sz w:val="20"/>
        </w:rPr>
        <w:t>Jaccard, P. (1912). The distribution of the flora in the alpine zone. New Phytologist, 11(2), 37-50. https://doi.org/10.1111/j.1469-8137.1912.tb05611.x</w:t>
      </w:r>
    </w:p>
    <w:p w14:paraId="056DBDFE" w14:textId="77777777" w:rsidR="00B76533" w:rsidRDefault="00000000">
      <w:pPr>
        <w:ind w:left="360" w:hanging="360"/>
        <w:jc w:val="left"/>
      </w:pPr>
      <w:r>
        <w:rPr>
          <w:sz w:val="20"/>
        </w:rPr>
        <w:t xml:space="preserve">Kirtman, B. P., Min, D., Infanti, J. M., Kinter, J. L., III, Paolino, D. A., Zhang, Q., van den Dool, H., Saha, S., Mendez, M. P., Becker, E., Peng, P., Tripp, P., Huang, J., DeWitt, D. G., Tippett, M. K., Barnston, A. G., Li, S., Rosati, A., Schubert, S. D., … Wood, E. F. (2014). The North American Multimodel Ensemble: Phase-1 seasonal-to-interannual prediction; Phase-2 toward developing intraseasonal prediction. </w:t>
      </w:r>
      <w:r>
        <w:rPr>
          <w:i/>
          <w:sz w:val="20"/>
        </w:rPr>
        <w:t>Bulletin of the American Meteorological Society, 95</w:t>
      </w:r>
      <w:r>
        <w:rPr>
          <w:sz w:val="20"/>
        </w:rPr>
        <w:t>(4), 585-601. https://doi.org/10.1175/bams-d-12-00050.1</w:t>
      </w:r>
    </w:p>
    <w:p w14:paraId="5E1E6016" w14:textId="77777777" w:rsidR="00B76533" w:rsidRDefault="00000000">
      <w:pPr>
        <w:ind w:left="360" w:hanging="360"/>
        <w:jc w:val="left"/>
      </w:pPr>
      <w:r>
        <w:rPr>
          <w:sz w:val="20"/>
        </w:rPr>
        <w:t>Künsch, H. R. (1989). The jackknife and the bootstrap for general stationary observations. The Annals of Statistics, 17(3), 1217-1241. https://doi.org/10.1214/aos/1176347265</w:t>
      </w:r>
    </w:p>
    <w:p w14:paraId="4E590947" w14:textId="77777777" w:rsidR="00B76533" w:rsidRDefault="00000000">
      <w:pPr>
        <w:ind w:left="360" w:hanging="360"/>
        <w:jc w:val="left"/>
      </w:pPr>
      <w:r>
        <w:rPr>
          <w:sz w:val="20"/>
        </w:rPr>
        <w:lastRenderedPageBreak/>
        <w:t xml:space="preserve">Llerena Pinto, M. C., Mirzabaev, A., &amp; Qaim, M. (2025). Effects of recurrent rainfall shocks on poverty and income distribution in rural Ecuador. </w:t>
      </w:r>
      <w:r>
        <w:rPr>
          <w:i/>
          <w:sz w:val="20"/>
        </w:rPr>
        <w:t>World Development, 195</w:t>
      </w:r>
      <w:r>
        <w:rPr>
          <w:sz w:val="20"/>
        </w:rPr>
        <w:t>, Article 107107. https://doi.org/10.1016/j.worlddev.2025.107107</w:t>
      </w:r>
    </w:p>
    <w:p w14:paraId="48C5C81A" w14:textId="77777777" w:rsidR="00B76533" w:rsidRDefault="00000000">
      <w:pPr>
        <w:ind w:left="360" w:hanging="360"/>
        <w:jc w:val="left"/>
      </w:pPr>
      <w:r>
        <w:rPr>
          <w:sz w:val="20"/>
        </w:rPr>
        <w:t xml:space="preserve">Mester, B., Frieler, K., Korup, O., Desai, B., &amp; Schewe, J. (2025). Socioeconomic predictors of vulnerability to flood-induced displacement. </w:t>
      </w:r>
      <w:r>
        <w:rPr>
          <w:i/>
          <w:sz w:val="20"/>
        </w:rPr>
        <w:t>Nature Communications, 16</w:t>
      </w:r>
      <w:r>
        <w:rPr>
          <w:sz w:val="20"/>
        </w:rPr>
        <w:t>, Article 8296. https://doi.org/10.1038/s41467-025-64015-8</w:t>
      </w:r>
    </w:p>
    <w:p w14:paraId="669A6915" w14:textId="77777777" w:rsidR="00B76533" w:rsidRDefault="00000000">
      <w:pPr>
        <w:ind w:left="360" w:hanging="360"/>
        <w:jc w:val="left"/>
      </w:pPr>
      <w:r>
        <w:rPr>
          <w:sz w:val="20"/>
        </w:rPr>
        <w:t xml:space="preserve">Misra, A., White, K., Nsutezo, S. F., Straka, W., III, &amp; Lavista, J. (2025). Mapping global floods with 10 years of satellite radar data. </w:t>
      </w:r>
      <w:r>
        <w:rPr>
          <w:i/>
          <w:sz w:val="20"/>
        </w:rPr>
        <w:t>Nature Communications, 16</w:t>
      </w:r>
      <w:r>
        <w:rPr>
          <w:sz w:val="20"/>
        </w:rPr>
        <w:t>, Article 5762. https://doi.org/10.1038/s41467-025-60973-1</w:t>
      </w:r>
    </w:p>
    <w:p w14:paraId="4CBE2A16" w14:textId="77777777" w:rsidR="00B76533" w:rsidRDefault="00000000">
      <w:pPr>
        <w:ind w:left="360" w:hanging="360"/>
        <w:jc w:val="left"/>
      </w:pPr>
      <w:r>
        <w:rPr>
          <w:sz w:val="20"/>
        </w:rPr>
        <w:t xml:space="preserve">Municipio del Distrito Metropolitano de Quito. (2024). </w:t>
      </w:r>
      <w:r>
        <w:rPr>
          <w:i/>
          <w:sz w:val="20"/>
        </w:rPr>
        <w:t>Cartografía del Plan de uso y gestión del suelo</w:t>
      </w:r>
      <w:r>
        <w:rPr>
          <w:sz w:val="20"/>
        </w:rPr>
        <w:t>. https://geoquito.quito.gob.ec/server/rest/services/web_reference_dmot/plan_de_uso_y_gestion_del_suelo_2024/MapServer</w:t>
      </w:r>
    </w:p>
    <w:p w14:paraId="36617791" w14:textId="77777777" w:rsidR="00B76533" w:rsidRDefault="00000000">
      <w:pPr>
        <w:ind w:left="360" w:hanging="360"/>
        <w:jc w:val="left"/>
      </w:pPr>
      <w:r>
        <w:rPr>
          <w:sz w:val="20"/>
        </w:rPr>
        <w:t>Municipio del Distrito Metropolitano de Quito. (s. f.-b). Personas pobres por NBI Sectores Censales Censo 2022. https://geoquito.quito.gob.ec/server/rest/services/web_service/s_nbi_porcentaje_personas_con_pobreza_por_nbi_2022/MapServer/3</w:t>
      </w:r>
    </w:p>
    <w:p w14:paraId="5434CCE4" w14:textId="77777777" w:rsidR="00B76533" w:rsidRDefault="00000000">
      <w:pPr>
        <w:ind w:left="360" w:hanging="360"/>
        <w:jc w:val="left"/>
      </w:pPr>
      <w:r>
        <w:rPr>
          <w:sz w:val="20"/>
        </w:rPr>
        <w:t>Municipio del Distrito Metropolitano de Quito. (s. f.-c). Eventos COE 2005 a mayo de 2024 [Capa de datos]. https://geoquito.quito.gob.ec/server/rest/services/Hosted/Eventos_2024/FeatureServer/0</w:t>
      </w:r>
    </w:p>
    <w:p w14:paraId="08A53128" w14:textId="77777777" w:rsidR="00B76533" w:rsidRDefault="00000000">
      <w:pPr>
        <w:ind w:left="360" w:hanging="360"/>
        <w:jc w:val="left"/>
      </w:pPr>
      <w:r>
        <w:rPr>
          <w:sz w:val="20"/>
        </w:rPr>
        <w:t xml:space="preserve">Recalde-Coronel, G. C., Barnston, A. G., &amp; Muñoz, Á. G. (2014). Predictability of December–April rainfall in coastal and Andean Ecuador. </w:t>
      </w:r>
      <w:r>
        <w:rPr>
          <w:i/>
          <w:sz w:val="20"/>
        </w:rPr>
        <w:t>Journal of Applied Meteorology and Climatology, 53</w:t>
      </w:r>
      <w:r>
        <w:rPr>
          <w:sz w:val="20"/>
        </w:rPr>
        <w:t>(6), 1471-1493. https://doi.org/10.1175/jamc-d-13-0133.1</w:t>
      </w:r>
    </w:p>
    <w:p w14:paraId="445B7557" w14:textId="77777777" w:rsidR="00B76533" w:rsidRDefault="00000000">
      <w:pPr>
        <w:ind w:left="360" w:hanging="360"/>
        <w:jc w:val="left"/>
      </w:pPr>
      <w:r>
        <w:rPr>
          <w:sz w:val="20"/>
        </w:rPr>
        <w:t xml:space="preserve">Rentschler, J., Salhab, M., &amp; Jafino, B. A. (2022). Flood exposure and poverty in 188 countries. </w:t>
      </w:r>
      <w:r>
        <w:rPr>
          <w:i/>
          <w:sz w:val="20"/>
        </w:rPr>
        <w:t>Nature Communications, 13</w:t>
      </w:r>
      <w:r>
        <w:rPr>
          <w:sz w:val="20"/>
        </w:rPr>
        <w:t>, Article 3527. https://doi.org/10.1038/s41467-022-30727-4</w:t>
      </w:r>
    </w:p>
    <w:p w14:paraId="03B17216" w14:textId="77777777" w:rsidR="00B76533" w:rsidRDefault="00000000">
      <w:pPr>
        <w:ind w:left="360" w:hanging="360"/>
        <w:jc w:val="left"/>
      </w:pPr>
      <w:r>
        <w:rPr>
          <w:sz w:val="20"/>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sz w:val="20"/>
        </w:rPr>
        <w:t>Ecography, 40</w:t>
      </w:r>
      <w:r>
        <w:rPr>
          <w:sz w:val="20"/>
        </w:rPr>
        <w:t>(8), 913-929. https://doi.org/10.1111/ecog.02881</w:t>
      </w:r>
    </w:p>
    <w:p w14:paraId="4972638C" w14:textId="77777777" w:rsidR="00B76533" w:rsidRDefault="00000000">
      <w:pPr>
        <w:ind w:left="360" w:hanging="360"/>
        <w:jc w:val="left"/>
      </w:pPr>
      <w:r>
        <w:rPr>
          <w:sz w:val="20"/>
        </w:rPr>
        <w:t xml:space="preserve">Robinson, W. S. (1950). Ecological correlations and the behavior of individuals. </w:t>
      </w:r>
      <w:r>
        <w:rPr>
          <w:i/>
          <w:sz w:val="20"/>
        </w:rPr>
        <w:t>American Sociological Review, 15</w:t>
      </w:r>
      <w:r>
        <w:rPr>
          <w:sz w:val="20"/>
        </w:rPr>
        <w:t>(3), 351-357. https://doi.org/10.2307/2087176</w:t>
      </w:r>
    </w:p>
    <w:p w14:paraId="4461DC7B" w14:textId="77777777" w:rsidR="00B76533" w:rsidRDefault="00000000">
      <w:pPr>
        <w:ind w:left="360" w:hanging="360"/>
        <w:jc w:val="left"/>
      </w:pPr>
      <w:r>
        <w:rPr>
          <w:sz w:val="20"/>
        </w:rPr>
        <w:t xml:space="preserve">Rosales-Rueda, M. (2018). The impact of early life shocks on human capital formation: evidence from El Niño floods in Ecuador. </w:t>
      </w:r>
      <w:r>
        <w:rPr>
          <w:i/>
          <w:sz w:val="20"/>
        </w:rPr>
        <w:t>Journal of Health Economics, 62</w:t>
      </w:r>
      <w:r>
        <w:rPr>
          <w:sz w:val="20"/>
        </w:rPr>
        <w:t>, 13-44. https://doi.org/10.1016/j.jhealeco.2018.07.003</w:t>
      </w:r>
    </w:p>
    <w:p w14:paraId="795446BA" w14:textId="77777777" w:rsidR="00B76533" w:rsidRDefault="00000000">
      <w:pPr>
        <w:ind w:left="360" w:hanging="360"/>
        <w:jc w:val="left"/>
      </w:pPr>
      <w:r>
        <w:rPr>
          <w:sz w:val="20"/>
        </w:rPr>
        <w:t xml:space="preserve">Servicio Nacional de Gestión de Riesgos. (s. f.). </w:t>
      </w:r>
      <w:r>
        <w:rPr>
          <w:i/>
          <w:sz w:val="20"/>
        </w:rPr>
        <w:t>Histórico de eventos peligrosos Ecuador</w:t>
      </w:r>
      <w:r>
        <w:rPr>
          <w:sz w:val="20"/>
        </w:rPr>
        <w:t>. https://sgrportal.gestionderiesgos.gob.ec/server/rest/services/Hosted/eventos_historicos/FeatureServer/0</w:t>
      </w:r>
    </w:p>
    <w:p w14:paraId="312A4AED" w14:textId="77777777" w:rsidR="00B76533" w:rsidRDefault="00000000">
      <w:pPr>
        <w:ind w:left="360" w:hanging="360"/>
        <w:jc w:val="left"/>
      </w:pPr>
      <w:r>
        <w:rPr>
          <w:sz w:val="20"/>
        </w:rPr>
        <w:t>Spearman, C. (1904). The proof and measurement of association between two things. The American Journal of Psychology, 15(1), 72-101. https://doi.org/10.2307/1412159</w:t>
      </w:r>
    </w:p>
    <w:p w14:paraId="3E893B97" w14:textId="77777777" w:rsidR="00B76533" w:rsidRDefault="00000000">
      <w:pPr>
        <w:ind w:left="360" w:hanging="360"/>
        <w:jc w:val="left"/>
      </w:pPr>
      <w:r>
        <w:rPr>
          <w:sz w:val="20"/>
        </w:rPr>
        <w:t xml:space="preserve">Tellman, B., Sullivan, J. A., Kuhn, C., Kettner, A. J., Doyle, C. S., Brakenridge, G. R., Erickson, T. A., &amp; Slayback, D. A. (2021). Satellite imaging reveals increased proportion of population exposed to floods. </w:t>
      </w:r>
      <w:r>
        <w:rPr>
          <w:i/>
          <w:sz w:val="20"/>
        </w:rPr>
        <w:t>Nature, 596</w:t>
      </w:r>
      <w:r>
        <w:rPr>
          <w:sz w:val="20"/>
        </w:rPr>
        <w:t>(7870), 80-86. https://doi.org/10.1038/s41586-021-03695-w</w:t>
      </w:r>
    </w:p>
    <w:p w14:paraId="31BFF35D" w14:textId="77777777" w:rsidR="00B76533" w:rsidRDefault="00000000">
      <w:pPr>
        <w:ind w:left="360" w:hanging="360"/>
        <w:jc w:val="left"/>
      </w:pPr>
      <w:r>
        <w:rPr>
          <w:sz w:val="20"/>
        </w:rPr>
        <w:t xml:space="preserve">Warton, D. I., &amp; Shepherd, L. C. (2010). Poisson point process models solve the “pseudo-absence problem” for presence-only data in ecology. </w:t>
      </w:r>
      <w:r>
        <w:rPr>
          <w:i/>
          <w:sz w:val="20"/>
        </w:rPr>
        <w:t>The Annals of Applied Statistics, 4</w:t>
      </w:r>
      <w:r>
        <w:rPr>
          <w:sz w:val="20"/>
        </w:rPr>
        <w:t>(3), 1383-1402. https://doi.org/10.1214/10-aoas331</w:t>
      </w:r>
    </w:p>
    <w:p w14:paraId="2BE7F2A8" w14:textId="77777777" w:rsidR="00B76533" w:rsidRDefault="00000000">
      <w:pPr>
        <w:ind w:left="360" w:hanging="360"/>
        <w:jc w:val="left"/>
      </w:pPr>
      <w:r>
        <w:rPr>
          <w:sz w:val="20"/>
        </w:rPr>
        <w:t xml:space="preserve">Watson, C. S., Elliott, J. R., Ebmeier, S. K., Vásquez, M. A., Zapata, C., Bonilla-Bedoya, S., Cubillo, P., Orbe, D. F., Córdova, M., Menoscal, J., &amp; Sevilla, E. (2022). Enhancing disaster risk resilience using greenspace in urbanising Quito, Ecuador. </w:t>
      </w:r>
      <w:r>
        <w:rPr>
          <w:i/>
          <w:sz w:val="20"/>
        </w:rPr>
        <w:t>Natural Hazards and Earth System Sciences, 22</w:t>
      </w:r>
      <w:r>
        <w:rPr>
          <w:sz w:val="20"/>
        </w:rPr>
        <w:t>(5), 1699-1721. https://doi.org/10.5194/nhess-22-1699-2022</w:t>
      </w:r>
    </w:p>
    <w:p w14:paraId="7C54CF86" w14:textId="77777777" w:rsidR="00B76533" w:rsidRDefault="00000000">
      <w:pPr>
        <w:ind w:left="360" w:hanging="360"/>
        <w:jc w:val="left"/>
      </w:pPr>
      <w:r>
        <w:rPr>
          <w:sz w:val="20"/>
        </w:rPr>
        <w:t xml:space="preserve">Zanaga, D., Van De Kerchove, R., Daems, D., De Keersmaecker, W., Brockmann, C., Kirches, G., Wevers, J., Cartus, O., Santoro, M., Fritz, S., Lesiv, M., Herold, M., Tsendbazar, N. E., Xu, P., Ramoino, F., &amp; Arino, O. </w:t>
      </w:r>
      <w:r>
        <w:rPr>
          <w:sz w:val="20"/>
        </w:rPr>
        <w:lastRenderedPageBreak/>
        <w:t xml:space="preserve">(2022). </w:t>
      </w:r>
      <w:r>
        <w:rPr>
          <w:i/>
          <w:sz w:val="20"/>
        </w:rPr>
        <w:t>ESA WorldCover 10 m 2021 v200</w:t>
      </w:r>
      <w:r>
        <w:rPr>
          <w:sz w:val="20"/>
        </w:rPr>
        <w:t xml:space="preserve"> [Conjunto de datos]. Zenodo. https://doi.org/10.5281/zenodo.7254221</w:t>
      </w:r>
    </w:p>
    <w:sectPr w:rsidR="00B76533" w:rsidSect="00034616">
      <w:footerReference w:type="default" r:id="rId13"/>
      <w:footnotePr>
        <w:numFmt w:val="chicago"/>
      </w:footnotePr>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F8507" w14:textId="77777777" w:rsidR="00D71A3D" w:rsidRDefault="00D71A3D">
      <w:pPr>
        <w:spacing w:after="0" w:line="240" w:lineRule="auto"/>
      </w:pPr>
      <w:r>
        <w:separator/>
      </w:r>
    </w:p>
  </w:endnote>
  <w:endnote w:type="continuationSeparator" w:id="0">
    <w:p w14:paraId="41D6BC88" w14:textId="77777777" w:rsidR="00D71A3D" w:rsidRDefault="00D7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98EA" w14:textId="77777777" w:rsidR="00B76533" w:rsidRDefault="00000000">
    <w:pPr>
      <w:pStyle w:val="Piedepgina"/>
      <w:jc w:val="center"/>
    </w:pPr>
    <w:r>
      <w:fldChar w:fldCharType="begin"/>
    </w:r>
    <w:r>
      <w:instrText>PAGE</w:instrText>
    </w:r>
    <w:r>
      <w:fldChar w:fldCharType="separate"/>
    </w:r>
    <w:r w:rsidR="00497C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EA999" w14:textId="77777777" w:rsidR="00D71A3D" w:rsidRDefault="00D71A3D">
      <w:pPr>
        <w:spacing w:after="0" w:line="240" w:lineRule="auto"/>
      </w:pPr>
      <w:r>
        <w:separator/>
      </w:r>
    </w:p>
  </w:footnote>
  <w:footnote w:type="continuationSeparator" w:id="0">
    <w:p w14:paraId="4A48CA19" w14:textId="77777777" w:rsidR="00D71A3D" w:rsidRDefault="00D71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1546897">
    <w:abstractNumId w:val="8"/>
  </w:num>
  <w:num w:numId="2" w16cid:durableId="1583833670">
    <w:abstractNumId w:val="6"/>
  </w:num>
  <w:num w:numId="3" w16cid:durableId="1082219832">
    <w:abstractNumId w:val="5"/>
  </w:num>
  <w:num w:numId="4" w16cid:durableId="1155605150">
    <w:abstractNumId w:val="4"/>
  </w:num>
  <w:num w:numId="5" w16cid:durableId="579683428">
    <w:abstractNumId w:val="7"/>
  </w:num>
  <w:num w:numId="6" w16cid:durableId="643119574">
    <w:abstractNumId w:val="3"/>
  </w:num>
  <w:num w:numId="7" w16cid:durableId="646663168">
    <w:abstractNumId w:val="2"/>
  </w:num>
  <w:num w:numId="8" w16cid:durableId="613748843">
    <w:abstractNumId w:val="1"/>
  </w:num>
  <w:num w:numId="9" w16cid:durableId="33843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hyphenationZone w:val="425"/>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596"/>
    <w:rsid w:val="0006063C"/>
    <w:rsid w:val="0015074B"/>
    <w:rsid w:val="0029639D"/>
    <w:rsid w:val="00326F90"/>
    <w:rsid w:val="003464C5"/>
    <w:rsid w:val="0044415A"/>
    <w:rsid w:val="00497C2E"/>
    <w:rsid w:val="004F2DE5"/>
    <w:rsid w:val="006D5475"/>
    <w:rsid w:val="00AA1D8D"/>
    <w:rsid w:val="00B47730"/>
    <w:rsid w:val="00B76533"/>
    <w:rsid w:val="00C92EC3"/>
    <w:rsid w:val="00CB0664"/>
    <w:rsid w:val="00D71A3D"/>
    <w:rsid w:val="00DD0B42"/>
    <w:rsid w:val="00F27B22"/>
    <w:rsid w:val="00FC693F"/>
    <w:rsid w:val="00FD44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F44E12"/>
  <w14:defaultImageDpi w14:val="300"/>
  <w15:docId w15:val="{3500AC0A-EE9E-4840-ACC9-FF0E3174A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jc w:val="both"/>
    </w:pPr>
    <w:rPr>
      <w:color w:val="000000"/>
    </w:rPr>
  </w:style>
  <w:style w:type="paragraph" w:styleId="Ttulo1">
    <w:name w:val="heading 1"/>
    <w:basedOn w:val="Normal"/>
    <w:next w:val="Normal"/>
    <w:link w:val="Ttulo1Car"/>
    <w:uiPriority w:val="9"/>
    <w:qFormat/>
    <w:rsid w:val="00FC693F"/>
    <w:pPr>
      <w:keepNext/>
      <w:keepLines/>
      <w:spacing w:before="480"/>
      <w:jc w:val="left"/>
      <w:outlineLvl w:val="0"/>
    </w:pPr>
    <w:rPr>
      <w:b/>
      <w:bCs/>
      <w:sz w:val="26"/>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b/>
      <w:bCs/>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Times New Roman" w:eastAsia="Times New Roman" w:hAnsi="Times New Roman" w:cs="Times New Roman"/>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Times New Roman" w:eastAsia="Times New Roman" w:hAnsi="Times New Roman" w:cs="Times New Roman"/>
    </w:rPr>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imes New Roman" w:eastAsia="Times New Roman" w:hAnsi="Times New Roman" w:cs="Times New Roman"/>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imes New Roman" w:eastAsia="Times New Roman" w:hAnsi="Times New Roman" w:cs="Times New Roman"/>
      <w:b/>
      <w:bCs/>
      <w:color w:val="4F81BD" w:themeColor="accent1"/>
      <w:sz w:val="26"/>
      <w:szCs w:val="26"/>
    </w:rPr>
  </w:style>
  <w:style w:type="character" w:customStyle="1" w:styleId="Ttulo3Car">
    <w:name w:val="Título 3 Car"/>
    <w:basedOn w:val="Fuentedeprrafopredeter"/>
    <w:link w:val="Ttulo3"/>
    <w:uiPriority w:val="9"/>
    <w:rsid w:val="00FC693F"/>
    <w:rPr>
      <w:rFonts w:ascii="Times New Roman" w:eastAsia="Times New Roman" w:hAnsi="Times New Roman" w:cs="Times New Roman"/>
      <w:b/>
      <w:bCs/>
      <w:color w:val="4F81BD" w:themeColor="accent1"/>
    </w:rPr>
  </w:style>
  <w:style w:type="paragraph" w:styleId="Ttulo">
    <w:name w:val="Title"/>
    <w:basedOn w:val="Normal"/>
    <w:next w:val="Normal"/>
    <w:link w:val="TtuloCar"/>
    <w:uiPriority w:val="10"/>
    <w:qFormat/>
    <w:rsid w:val="00FC693F"/>
    <w:pPr>
      <w:contextualSpacing/>
      <w:jc w:val="left"/>
    </w:pPr>
    <w:rPr>
      <w:b/>
      <w:spacing w:val="5"/>
      <w:kern w:val="28"/>
      <w:sz w:val="32"/>
      <w:szCs w:val="52"/>
    </w:rPr>
  </w:style>
  <w:style w:type="character" w:customStyle="1" w:styleId="TtuloCar">
    <w:name w:val="Título Car"/>
    <w:basedOn w:val="Fuentedeprrafopredeter"/>
    <w:link w:val="Ttulo"/>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imes New Roman" w:eastAsia="Times New Roman" w:hAnsi="Times New Roman" w:cs="Times New Roman"/>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rPr>
      <w:rFonts w:ascii="Times New Roman" w:eastAsia="Times New Roman" w:hAnsi="Times New Roman" w:cs="Times New Roman"/>
    </w:rPr>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rPr>
      <w:rFonts w:ascii="Times New Roman" w:eastAsia="Times New Roman" w:hAnsi="Times New Roman" w:cs="Times New Roman"/>
    </w:rPr>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eastAsia="Times New Roman" w:hAnsi="Times New Roman" w:cs="Times New Roman"/>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macroCar">
    <w:name w:val="Texto macro Car"/>
    <w:basedOn w:val="Fuentedeprrafopredeter"/>
    <w:link w:val="Textomacro"/>
    <w:uiPriority w:val="99"/>
    <w:rsid w:val="0029639D"/>
    <w:rPr>
      <w:rFonts w:ascii="Times New Roman" w:eastAsia="Times New Roman" w:hAnsi="Times New Roman" w:cs="Times New Roman"/>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Times New Roman" w:eastAsia="Times New Roman" w:hAnsi="Times New Roman" w:cs="Times New Roman"/>
      <w:i/>
      <w:iCs/>
      <w:color w:val="000000" w:themeColor="text1"/>
    </w:rPr>
  </w:style>
  <w:style w:type="character" w:customStyle="1" w:styleId="Ttulo4Car">
    <w:name w:val="Título 4 Car"/>
    <w:basedOn w:val="Fuentedeprrafopredeter"/>
    <w:link w:val="Ttulo4"/>
    <w:uiPriority w:val="9"/>
    <w:semiHidden/>
    <w:rsid w:val="00FC693F"/>
    <w:rPr>
      <w:rFonts w:ascii="Times New Roman" w:eastAsia="Times New Roman" w:hAnsi="Times New Roman" w:cs="Times New Roman"/>
      <w:b/>
      <w:bCs/>
      <w:i/>
      <w:iCs/>
      <w:color w:val="4F81BD" w:themeColor="accent1"/>
    </w:rPr>
  </w:style>
  <w:style w:type="character" w:customStyle="1" w:styleId="Ttulo5Car">
    <w:name w:val="Título 5 Car"/>
    <w:basedOn w:val="Fuentedeprrafopredeter"/>
    <w:link w:val="Ttulo5"/>
    <w:uiPriority w:val="9"/>
    <w:semiHidden/>
    <w:rsid w:val="00FC693F"/>
    <w:rPr>
      <w:rFonts w:ascii="Times New Roman" w:eastAsia="Times New Roman" w:hAnsi="Times New Roman" w:cs="Times New Roman"/>
      <w:color w:val="243F60" w:themeColor="accent1" w:themeShade="7F"/>
    </w:rPr>
  </w:style>
  <w:style w:type="character" w:customStyle="1" w:styleId="Ttulo6Car">
    <w:name w:val="Título 6 Car"/>
    <w:basedOn w:val="Fuentedeprrafopredeter"/>
    <w:link w:val="Ttulo6"/>
    <w:uiPriority w:val="9"/>
    <w:semiHidden/>
    <w:rsid w:val="00FC693F"/>
    <w:rPr>
      <w:rFonts w:ascii="Times New Roman" w:eastAsia="Times New Roman" w:hAnsi="Times New Roman" w:cs="Times New Roman"/>
      <w:i/>
      <w:iCs/>
      <w:color w:val="243F60" w:themeColor="accent1" w:themeShade="7F"/>
    </w:rPr>
  </w:style>
  <w:style w:type="character" w:customStyle="1" w:styleId="Ttulo7Car">
    <w:name w:val="Título 7 Car"/>
    <w:basedOn w:val="Fuentedeprrafopredeter"/>
    <w:link w:val="Ttulo7"/>
    <w:uiPriority w:val="9"/>
    <w:semiHidden/>
    <w:rsid w:val="00FC693F"/>
    <w:rPr>
      <w:rFonts w:ascii="Times New Roman" w:eastAsia="Times New Roman" w:hAnsi="Times New Roman" w:cs="Times New Roman"/>
      <w:i/>
      <w:iCs/>
      <w:color w:val="404040" w:themeColor="text1" w:themeTint="BF"/>
    </w:rPr>
  </w:style>
  <w:style w:type="character" w:customStyle="1" w:styleId="Ttulo8Car">
    <w:name w:val="Título 8 Car"/>
    <w:basedOn w:val="Fuentedeprrafopredeter"/>
    <w:link w:val="Ttulo8"/>
    <w:uiPriority w:val="9"/>
    <w:semiHidden/>
    <w:rsid w:val="00FC693F"/>
    <w:rPr>
      <w:rFonts w:ascii="Times New Roman" w:eastAsia="Times New Roman" w:hAnsi="Times New Roman" w:cs="Times New Roman"/>
      <w:color w:val="4F81BD" w:themeColor="accent1"/>
      <w:sz w:val="20"/>
      <w:szCs w:val="20"/>
    </w:rPr>
  </w:style>
  <w:style w:type="character" w:customStyle="1" w:styleId="Ttulo9Car">
    <w:name w:val="Título 9 Car"/>
    <w:basedOn w:val="Fuentedeprrafopredeter"/>
    <w:link w:val="Ttulo9"/>
    <w:uiPriority w:val="9"/>
    <w:semiHidden/>
    <w:rsid w:val="00FC693F"/>
    <w:rPr>
      <w:rFonts w:ascii="Times New Roman" w:eastAsia="Times New Roman" w:hAnsi="Times New Roman" w:cs="Times New Roman"/>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rFonts w:ascii="Times New Roman" w:eastAsia="Times New Roman" w:hAnsi="Times New Roman" w:cs="Times New Roman"/>
      <w:b/>
      <w:bCs/>
    </w:rPr>
  </w:style>
  <w:style w:type="character" w:styleId="nfasis">
    <w:name w:val="Emphasis"/>
    <w:basedOn w:val="Fuentedeprrafopredeter"/>
    <w:uiPriority w:val="20"/>
    <w:qFormat/>
    <w:rsid w:val="00FC693F"/>
    <w:rPr>
      <w:rFonts w:ascii="Times New Roman" w:eastAsia="Times New Roman" w:hAnsi="Times New Roman" w:cs="Times New Roman"/>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Times New Roman" w:eastAsia="Times New Roman" w:hAnsi="Times New Roman" w:cs="Times New Roman"/>
      <w:b/>
      <w:bCs/>
      <w:i/>
      <w:iCs/>
      <w:color w:val="4F81BD" w:themeColor="accent1"/>
    </w:rPr>
  </w:style>
  <w:style w:type="character" w:styleId="nfasissutil">
    <w:name w:val="Subtle Emphasis"/>
    <w:basedOn w:val="Fuentedeprrafopredeter"/>
    <w:uiPriority w:val="19"/>
    <w:qFormat/>
    <w:rsid w:val="00FC693F"/>
    <w:rPr>
      <w:rFonts w:ascii="Times New Roman" w:eastAsia="Times New Roman" w:hAnsi="Times New Roman" w:cs="Times New Roman"/>
      <w:i/>
      <w:iCs/>
      <w:color w:val="808080" w:themeColor="text1" w:themeTint="7F"/>
    </w:rPr>
  </w:style>
  <w:style w:type="character" w:styleId="nfasisintenso">
    <w:name w:val="Intense Emphasis"/>
    <w:basedOn w:val="Fuentedeprrafopredeter"/>
    <w:uiPriority w:val="21"/>
    <w:qFormat/>
    <w:rsid w:val="00FC693F"/>
    <w:rPr>
      <w:rFonts w:ascii="Times New Roman" w:eastAsia="Times New Roman" w:hAnsi="Times New Roman" w:cs="Times New Roman"/>
      <w:b/>
      <w:bCs/>
      <w:i/>
      <w:iCs/>
      <w:color w:val="4F81BD" w:themeColor="accent1"/>
    </w:rPr>
  </w:style>
  <w:style w:type="character" w:styleId="Referenciasutil">
    <w:name w:val="Subtle Reference"/>
    <w:basedOn w:val="Fuentedeprrafopredeter"/>
    <w:uiPriority w:val="31"/>
    <w:qFormat/>
    <w:rsid w:val="00FC693F"/>
    <w:rPr>
      <w:rFonts w:ascii="Times New Roman" w:eastAsia="Times New Roman" w:hAnsi="Times New Roman" w:cs="Times New Roman"/>
      <w:smallCaps/>
      <w:color w:val="C0504D" w:themeColor="accent2"/>
      <w:u w:val="single"/>
    </w:rPr>
  </w:style>
  <w:style w:type="character" w:styleId="Referenciaintensa">
    <w:name w:val="Intense Reference"/>
    <w:basedOn w:val="Fuentedeprrafopredeter"/>
    <w:uiPriority w:val="32"/>
    <w:qFormat/>
    <w:rsid w:val="00FC693F"/>
    <w:rPr>
      <w:rFonts w:ascii="Times New Roman" w:eastAsia="Times New Roman" w:hAnsi="Times New Roman" w:cs="Times New Roman"/>
      <w:b/>
      <w:bCs/>
      <w:smallCaps/>
      <w:color w:val="C0504D" w:themeColor="accent2"/>
      <w:spacing w:val="5"/>
      <w:u w:val="single"/>
    </w:rPr>
  </w:style>
  <w:style w:type="character" w:styleId="Ttulodellibro">
    <w:name w:val="Book Title"/>
    <w:basedOn w:val="Fuentedeprrafopredeter"/>
    <w:uiPriority w:val="33"/>
    <w:qFormat/>
    <w:rsid w:val="00FC693F"/>
    <w:rPr>
      <w:rFonts w:ascii="Times New Roman" w:eastAsia="Times New Roman" w:hAnsi="Times New Roman" w:cs="Times New Roman"/>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6957</Words>
  <Characters>38266</Characters>
  <Application>Microsoft Office Word</Application>
  <DocSecurity>0</DocSecurity>
  <Lines>318</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Privación social y preparación ante inundaciones en Quito</dc:title>
  <dc:subject/>
  <dc:creator>Wilson Gustavo Morales Lastra</dc:creator>
  <cp:keywords/>
  <dc:description>generated by python-docx</dc:description>
  <cp:lastModifiedBy>Pakt Ai</cp:lastModifiedBy>
  <cp:revision>5</cp:revision>
  <dcterms:created xsi:type="dcterms:W3CDTF">2026-10-12T02:03:00Z</dcterms:created>
  <dcterms:modified xsi:type="dcterms:W3CDTF">2026-10-14T01:59:00Z</dcterms:modified>
  <cp:category/>
</cp:coreProperties>
</file>