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008080"/>
          <w:sz w:val="26"/>
        </w:rPr>
        <w:t>FINAL TECHNICAL DOCUMENTATION</w:t>
      </w:r>
    </w:p>
    <w:p>
      <w:pPr>
        <w:spacing w:before="280" w:after="160"/>
        <w:jc w:val="center"/>
      </w:pPr>
      <w:r>
        <w:rPr>
          <w:rFonts w:ascii="Calibri" w:hAnsi="Calibri"/>
          <w:b/>
          <w:color w:val="0B2545"/>
          <w:sz w:val="48"/>
        </w:rPr>
        <w:t>Scalable Music Genre Classification and Audio Analytics Using the Free Music Archive Dataset</w:t>
      </w:r>
    </w:p>
    <w:p>
      <w:pPr>
        <w:jc w:val="center"/>
      </w:pPr>
      <w:r>
        <w:rPr>
          <w:rFonts w:ascii="Calibri" w:hAnsi="Calibri"/>
          <w:i/>
          <w:color w:val="5A5A5A"/>
          <w:sz w:val="28"/>
        </w:rPr>
        <w:t>MSc Applied Data Science Capstone Project</w:t>
      </w:r>
    </w:p>
    <w:p>
      <w:pPr>
        <w:spacing w:before="400"/>
        <w:jc w:val="center"/>
      </w:pPr>
      <w:r>
        <w:rPr>
          <w:rFonts w:ascii="Calibri" w:hAnsi="Calibri"/>
          <w:color w:val="282828"/>
          <w:sz w:val="24"/>
        </w:rPr>
        <w:t>Student: Julian Devonish</w:t>
        <w:br/>
        <w:t>Programme: Master of Science in Applied Data Science</w:t>
        <w:br/>
        <w:t>Institution: The University of the West Indies</w:t>
        <w:br/>
        <w:t>Course: COMP6830 - Data Science Capstone II</w:t>
        <w:br/>
        <w:t>Supervisor: Dr. Sean Miller</w:t>
        <w:br/>
        <w:t>Prepared: June 18, 2026</w:t>
      </w:r>
    </w:p>
    <w:p>
      <w:pPr>
        <w:spacing w:before="680"/>
        <w:jc w:val="center"/>
      </w:pPr>
      <w:r>
        <w:rPr>
          <w:rFonts w:ascii="Calibri" w:hAnsi="Calibri"/>
          <w:color w:val="5A5A5A"/>
          <w:sz w:val="22"/>
        </w:rPr>
        <w:t>This document records a six-month capstone build from the first data checks to the final tests. It covers FMA data preparation, MongoDB support, structured models, audio models, hybrid fusion, the corrected 163-genre plan, FMA testing, external testing, limitations, and notebook artefacts. The writing follows the evidence produced by the notebooks and saved output files, rather than presenting the project as a smooth sequence of completed tasks.</w:t>
      </w:r>
    </w:p>
    <w:p>
      <w:r/>
    </w:p>
    <w:p>
      <w:pPr>
        <w:pStyle w:val="Heading1"/>
      </w:pPr>
      <w:r>
        <w:t>Abstract</w:t>
      </w:r>
    </w:p>
    <w:p>
      <w:r/>
      <w:r>
        <w:t>This capstone examined music genre prediction as a full data science pipeline rather than as a single model experiment. The work used the Free Music Archive (FMA) collection because it brings together structured metadata, engineered feature files, raw audio, and a genre hierarchy large enough to expose real modelling problems. The scale of the work mattered. The notebooks had to manage thousands of tracks, many genre relationships, audio file checks, saved model artefacts, and repeated evaluation outputs. This made the project a Big Data style capstone in practical terms, even though the final evaluation samples were deliberately controlled for reliable testing.</w:t>
      </w:r>
    </w:p>
    <w:p>
      <w:r/>
      <w:r>
        <w:t>A major lesson from the six-month build was that genre prediction is not a neat one-label classification task. FMA stores genres as a hierarchy, with broad parent genres and narrower child labels. A track can also carry several reasonable genre meanings at the same time. For that reason, the final system was designed as a ranked multi-label classifier. The corrected taxonomy contains 163 genre records. Of these, 150 labels are predicted directly, 10 rare labels are handled through a fallback stage, and 3 labels remain in the inventory for completeness rather than direct prediction. This split was chosen because the evidence did not support treating every genre as equally learnable.</w:t>
      </w:r>
    </w:p>
    <w:p>
      <w:r/>
      <w:r>
        <w:t>The final evidence came mainly from Notebook 49 and Notebook 50, supported by the earlier notebooks that prepared data, labels, models, thresholds, and manifests. Notebook 49 evaluated 100 FMA test tracks and completed with no prediction errors. It produced Micro F1 = 0.450, Samples F1 = 0.445, Top-1 hit-any = 72.0%, Top-3 hit-any = 98.0%, and Top-5 hit-any = 99.0%. Notebook 50 tested 60 legal open-licence external songs. It produced Top-1 = 21.7%, Top-3 = 63.3%, and Top-5 = 83.3%. These results indicate that the model is strongest as a ranked genre suggestion tool. It can place likely labels near the top, but it should not be presented as a production system that assigns final catalogue tags without review.</w:t>
      </w:r>
    </w:p>
    <w:p>
      <w:pPr>
        <w:pStyle w:val="Heading1"/>
      </w:pPr>
      <w:r>
        <w:t>Executive Summary</w:t>
      </w:r>
    </w:p>
    <w:p>
      <w:r>
        <w:t>The capstone produced a working music genre pipeline that can be checked through its notebooks and outputs. The work did not move in a perfectly straight line. Some early results were useful, while others exposed problems in label support, record selection, and audio preparation. Those issues are kept visible in the final paper because they explain why the project ended with ranked Top-k evaluation rather than a simple exact-label claim.</w:t>
      </w:r>
    </w:p>
    <w:tbl>
      <w:tblPr>
        <w:tblStyle w:val="TableGrid"/>
        <w:tblW w:type="dxa" w:w="9360"/>
        <w:tblLook w:firstColumn="1" w:firstRow="1" w:lastColumn="0" w:lastRow="0" w:noHBand="0" w:noVBand="1" w:val="04A0"/>
        <w:tblInd w:type="dxa" w:w="120"/>
      </w:tblPr>
      <w:tblGrid>
        <w:gridCol w:w="1700"/>
        <w:gridCol w:w="3800"/>
        <w:gridCol w:w="3860"/>
      </w:tblGrid>
      <w:tr>
        <w:trPr>
          <w:cantSplit/>
          <w:tblHeader/>
        </w:trPr>
        <w:tc>
          <w:tcPr>
            <w:tcW w:type="dxa" w:w="1700"/>
            <w:shd w:fill="1F4D78"/>
            <w:vAlign w:val="center"/>
          </w:tcPr>
          <w:p>
            <w:pPr>
              <w:spacing w:after="40"/>
              <w:jc w:val="center"/>
            </w:pPr>
            <w:r>
              <w:rPr>
                <w:rFonts w:ascii="Calibri" w:hAnsi="Calibri"/>
                <w:b/>
                <w:color w:val="FFFFFF"/>
                <w:sz w:val="18"/>
              </w:rPr>
              <w:t>Area</w:t>
            </w:r>
          </w:p>
        </w:tc>
        <w:tc>
          <w:tcPr>
            <w:tcW w:type="dxa" w:w="3800"/>
            <w:shd w:fill="1F4D78"/>
            <w:vAlign w:val="center"/>
          </w:tcPr>
          <w:p>
            <w:pPr>
              <w:spacing w:after="40"/>
              <w:jc w:val="center"/>
            </w:pPr>
            <w:r>
              <w:rPr>
                <w:rFonts w:ascii="Calibri" w:hAnsi="Calibri"/>
                <w:b/>
                <w:color w:val="FFFFFF"/>
                <w:sz w:val="18"/>
              </w:rPr>
              <w:t>Final position</w:t>
            </w:r>
          </w:p>
        </w:tc>
        <w:tc>
          <w:tcPr>
            <w:tcW w:type="dxa" w:w="3860"/>
            <w:shd w:fill="1F4D78"/>
            <w:vAlign w:val="center"/>
          </w:tcPr>
          <w:p>
            <w:pPr>
              <w:spacing w:after="40"/>
              <w:jc w:val="center"/>
            </w:pPr>
            <w:r>
              <w:rPr>
                <w:rFonts w:ascii="Calibri" w:hAnsi="Calibri"/>
                <w:b/>
                <w:color w:val="FFFFFF"/>
                <w:sz w:val="18"/>
              </w:rPr>
              <w:t>Evidence</w:t>
            </w:r>
          </w:p>
        </w:tc>
      </w:tr>
      <w:tr>
        <w:trPr>
          <w:cantSplit/>
        </w:trPr>
        <w:tc>
          <w:tcPr>
            <w:tcW w:type="dxa" w:w="1700"/>
            <w:vAlign w:val="center"/>
          </w:tcPr>
          <w:p>
            <w:pPr>
              <w:spacing w:after="40"/>
            </w:pPr>
            <w:r>
              <w:rPr>
                <w:rFonts w:ascii="Calibri" w:hAnsi="Calibri"/>
                <w:color w:val="1E1E1E"/>
                <w:sz w:val="17"/>
              </w:rPr>
              <w:t>Project scope</w:t>
            </w:r>
          </w:p>
        </w:tc>
        <w:tc>
          <w:tcPr>
            <w:tcW w:type="dxa" w:w="3800"/>
            <w:vAlign w:val="center"/>
          </w:tcPr>
          <w:p>
            <w:pPr>
              <w:spacing w:after="40"/>
            </w:pPr>
            <w:r>
              <w:rPr>
                <w:rFonts w:ascii="Calibri" w:hAnsi="Calibri"/>
                <w:color w:val="1E1E1E"/>
                <w:sz w:val="17"/>
              </w:rPr>
              <w:t>Full project record across notebooks 1-50 and the final artefacts.</w:t>
            </w:r>
          </w:p>
        </w:tc>
        <w:tc>
          <w:tcPr>
            <w:tcW w:type="dxa" w:w="3860"/>
            <w:vAlign w:val="center"/>
          </w:tcPr>
          <w:p>
            <w:pPr>
              <w:spacing w:after="40"/>
            </w:pPr>
            <w:r>
              <w:rPr>
                <w:rFonts w:ascii="Calibri" w:hAnsi="Calibri"/>
                <w:color w:val="1E1E1E"/>
                <w:sz w:val="17"/>
              </w:rPr>
              <w:t>The notebooks start with metadata checks and end with FMA and external testing.</w:t>
            </w:r>
          </w:p>
        </w:tc>
      </w:tr>
      <w:tr>
        <w:trPr>
          <w:cantSplit/>
        </w:trPr>
        <w:tc>
          <w:tcPr>
            <w:tcW w:type="dxa" w:w="1700"/>
            <w:vAlign w:val="center"/>
          </w:tcPr>
          <w:p>
            <w:pPr>
              <w:spacing w:after="40"/>
            </w:pPr>
            <w:r>
              <w:rPr>
                <w:rFonts w:ascii="Calibri" w:hAnsi="Calibri"/>
                <w:color w:val="1E1E1E"/>
                <w:sz w:val="17"/>
              </w:rPr>
              <w:t>Dataset requirement</w:t>
            </w:r>
          </w:p>
        </w:tc>
        <w:tc>
          <w:tcPr>
            <w:tcW w:type="dxa" w:w="3800"/>
            <w:vAlign w:val="center"/>
          </w:tcPr>
          <w:p>
            <w:pPr>
              <w:spacing w:after="40"/>
            </w:pPr>
            <w:r>
              <w:rPr>
                <w:rFonts w:ascii="Calibri" w:hAnsi="Calibri"/>
                <w:color w:val="1E1E1E"/>
                <w:sz w:val="17"/>
              </w:rPr>
              <w:t>Uses structured tables and raw audio at a realistic project scale.</w:t>
            </w:r>
          </w:p>
        </w:tc>
        <w:tc>
          <w:tcPr>
            <w:tcW w:type="dxa" w:w="3860"/>
            <w:vAlign w:val="center"/>
          </w:tcPr>
          <w:p>
            <w:pPr>
              <w:spacing w:after="40"/>
            </w:pPr>
            <w:r>
              <w:rPr>
                <w:rFonts w:ascii="Calibri" w:hAnsi="Calibri"/>
                <w:color w:val="1E1E1E"/>
                <w:sz w:val="17"/>
              </w:rPr>
              <w:t>FMA metadata, feature files, audio files, MongoDB support, and saved outputs.</w:t>
            </w:r>
          </w:p>
        </w:tc>
      </w:tr>
      <w:tr>
        <w:trPr>
          <w:cantSplit/>
        </w:trPr>
        <w:tc>
          <w:tcPr>
            <w:tcW w:type="dxa" w:w="1700"/>
            <w:vAlign w:val="center"/>
          </w:tcPr>
          <w:p>
            <w:pPr>
              <w:spacing w:after="40"/>
            </w:pPr>
            <w:r>
              <w:rPr>
                <w:rFonts w:ascii="Calibri" w:hAnsi="Calibri"/>
                <w:color w:val="1E1E1E"/>
                <w:sz w:val="17"/>
              </w:rPr>
              <w:t>Final taxonomy</w:t>
            </w:r>
          </w:p>
        </w:tc>
        <w:tc>
          <w:tcPr>
            <w:tcW w:type="dxa" w:w="3800"/>
            <w:vAlign w:val="center"/>
          </w:tcPr>
          <w:p>
            <w:pPr>
              <w:spacing w:after="40"/>
            </w:pPr>
            <w:r>
              <w:rPr>
                <w:rFonts w:ascii="Calibri" w:hAnsi="Calibri"/>
                <w:color w:val="1E1E1E"/>
                <w:sz w:val="17"/>
              </w:rPr>
              <w:t>163-genre inventory strategy.</w:t>
            </w:r>
          </w:p>
        </w:tc>
        <w:tc>
          <w:tcPr>
            <w:tcW w:type="dxa" w:w="3860"/>
            <w:vAlign w:val="center"/>
          </w:tcPr>
          <w:p>
            <w:pPr>
              <w:spacing w:after="40"/>
            </w:pPr>
            <w:r>
              <w:rPr>
                <w:rFonts w:ascii="Calibri" w:hAnsi="Calibri"/>
                <w:color w:val="1E1E1E"/>
                <w:sz w:val="17"/>
              </w:rPr>
              <w:t>150 direct labels, 10 rare-label fallback labels, and 3 inventory-only labels.</w:t>
            </w:r>
          </w:p>
        </w:tc>
      </w:tr>
      <w:tr>
        <w:trPr>
          <w:cantSplit/>
        </w:trPr>
        <w:tc>
          <w:tcPr>
            <w:tcW w:type="dxa" w:w="1700"/>
            <w:vAlign w:val="center"/>
          </w:tcPr>
          <w:p>
            <w:pPr>
              <w:spacing w:after="40"/>
            </w:pPr>
            <w:r>
              <w:rPr>
                <w:rFonts w:ascii="Calibri" w:hAnsi="Calibri"/>
                <w:color w:val="1E1E1E"/>
                <w:sz w:val="17"/>
              </w:rPr>
              <w:t>Best historical benchmark</w:t>
            </w:r>
          </w:p>
        </w:tc>
        <w:tc>
          <w:tcPr>
            <w:tcW w:type="dxa" w:w="3800"/>
            <w:vAlign w:val="center"/>
          </w:tcPr>
          <w:p>
            <w:pPr>
              <w:spacing w:after="40"/>
            </w:pPr>
            <w:r>
              <w:rPr>
                <w:rFonts w:ascii="Calibri" w:hAnsi="Calibri"/>
                <w:color w:val="1E1E1E"/>
                <w:sz w:val="17"/>
              </w:rPr>
              <w:t>Expanded Hybrid Global Threshold with 0.1 structured weight, 0.9 audio weight, and threshold 0.20.</w:t>
            </w:r>
          </w:p>
        </w:tc>
        <w:tc>
          <w:tcPr>
            <w:tcW w:type="dxa" w:w="3860"/>
            <w:vAlign w:val="center"/>
          </w:tcPr>
          <w:p>
            <w:pPr>
              <w:spacing w:after="40"/>
            </w:pPr>
            <w:r>
              <w:rPr>
                <w:rFonts w:ascii="Calibri" w:hAnsi="Calibri"/>
                <w:color w:val="1E1E1E"/>
                <w:sz w:val="17"/>
              </w:rPr>
              <w:t>Final project snapshot reports benchmark Micro F1 about 0.391.</w:t>
            </w:r>
          </w:p>
        </w:tc>
      </w:tr>
      <w:tr>
        <w:trPr>
          <w:cantSplit/>
        </w:trPr>
        <w:tc>
          <w:tcPr>
            <w:tcW w:type="dxa" w:w="1700"/>
            <w:vAlign w:val="center"/>
          </w:tcPr>
          <w:p>
            <w:pPr>
              <w:spacing w:after="40"/>
            </w:pPr>
            <w:r>
              <w:rPr>
                <w:rFonts w:ascii="Calibri" w:hAnsi="Calibri"/>
                <w:color w:val="1E1E1E"/>
                <w:sz w:val="17"/>
              </w:rPr>
              <w:t>Current formal FMA test</w:t>
            </w:r>
          </w:p>
        </w:tc>
        <w:tc>
          <w:tcPr>
            <w:tcW w:type="dxa" w:w="3800"/>
            <w:vAlign w:val="center"/>
          </w:tcPr>
          <w:p>
            <w:pPr>
              <w:spacing w:after="40"/>
            </w:pPr>
            <w:r>
              <w:rPr>
                <w:rFonts w:ascii="Calibri" w:hAnsi="Calibri"/>
                <w:color w:val="1E1E1E"/>
                <w:sz w:val="17"/>
              </w:rPr>
              <w:t>Micro F1 0.450; Top-3 98.0%; Top-5 99.0%.</w:t>
            </w:r>
          </w:p>
        </w:tc>
        <w:tc>
          <w:tcPr>
            <w:tcW w:type="dxa" w:w="3860"/>
            <w:vAlign w:val="center"/>
          </w:tcPr>
          <w:p>
            <w:pPr>
              <w:spacing w:after="40"/>
            </w:pPr>
            <w:r>
              <w:rPr>
                <w:rFonts w:ascii="Calibri" w:hAnsi="Calibri"/>
                <w:color w:val="1E1E1E"/>
                <w:sz w:val="17"/>
              </w:rPr>
              <w:t>Notebook 49 corrected processed test-split evaluation.</w:t>
            </w:r>
          </w:p>
        </w:tc>
      </w:tr>
      <w:tr>
        <w:trPr>
          <w:cantSplit/>
        </w:trPr>
        <w:tc>
          <w:tcPr>
            <w:tcW w:type="dxa" w:w="1700"/>
            <w:vAlign w:val="center"/>
          </w:tcPr>
          <w:p>
            <w:pPr>
              <w:spacing w:after="40"/>
            </w:pPr>
            <w:r>
              <w:rPr>
                <w:rFonts w:ascii="Calibri" w:hAnsi="Calibri"/>
                <w:color w:val="1E1E1E"/>
                <w:sz w:val="17"/>
              </w:rPr>
              <w:t>External audio test</w:t>
            </w:r>
          </w:p>
        </w:tc>
        <w:tc>
          <w:tcPr>
            <w:tcW w:type="dxa" w:w="3800"/>
            <w:vAlign w:val="center"/>
          </w:tcPr>
          <w:p>
            <w:pPr>
              <w:spacing w:after="40"/>
            </w:pPr>
            <w:r>
              <w:rPr>
                <w:rFonts w:ascii="Calibri" w:hAnsi="Calibri"/>
                <w:color w:val="1E1E1E"/>
                <w:sz w:val="17"/>
              </w:rPr>
              <w:t>Top-1 21.7%; Top-3 66.7%; Top-5 83.3%.</w:t>
            </w:r>
          </w:p>
        </w:tc>
        <w:tc>
          <w:tcPr>
            <w:tcW w:type="dxa" w:w="3860"/>
            <w:vAlign w:val="center"/>
          </w:tcPr>
          <w:p>
            <w:pPr>
              <w:spacing w:after="40"/>
            </w:pPr>
            <w:r>
              <w:rPr>
                <w:rFonts w:ascii="Calibri" w:hAnsi="Calibri"/>
                <w:color w:val="1E1E1E"/>
                <w:sz w:val="17"/>
              </w:rPr>
              <w:t>Notebook 50 legal open-licence 60-song batch.</w:t>
            </w:r>
          </w:p>
        </w:tc>
      </w:tr>
      <w:tr>
        <w:trPr>
          <w:cantSplit/>
        </w:trPr>
        <w:tc>
          <w:tcPr>
            <w:tcW w:type="dxa" w:w="1700"/>
            <w:vAlign w:val="center"/>
          </w:tcPr>
          <w:p>
            <w:pPr>
              <w:spacing w:after="40"/>
            </w:pPr>
            <w:r>
              <w:rPr>
                <w:rFonts w:ascii="Calibri" w:hAnsi="Calibri"/>
                <w:color w:val="1E1E1E"/>
                <w:sz w:val="17"/>
              </w:rPr>
              <w:t>Main limitation</w:t>
            </w:r>
          </w:p>
        </w:tc>
        <w:tc>
          <w:tcPr>
            <w:tcW w:type="dxa" w:w="3800"/>
            <w:vAlign w:val="center"/>
          </w:tcPr>
          <w:p>
            <w:pPr>
              <w:spacing w:after="40"/>
            </w:pPr>
            <w:r>
              <w:rPr>
                <w:rFonts w:ascii="Calibri" w:hAnsi="Calibri"/>
                <w:color w:val="1E1E1E"/>
                <w:sz w:val="17"/>
              </w:rPr>
              <w:t>The model is biased toward broad labels, especially Experimental, on external songs.</w:t>
            </w:r>
          </w:p>
        </w:tc>
        <w:tc>
          <w:tcPr>
            <w:tcW w:type="dxa" w:w="3860"/>
            <w:vAlign w:val="center"/>
          </w:tcPr>
          <w:p>
            <w:pPr>
              <w:spacing w:after="40"/>
            </w:pPr>
            <w:r>
              <w:rPr>
                <w:rFonts w:ascii="Calibri" w:hAnsi="Calibri"/>
                <w:color w:val="1E1E1E"/>
                <w:sz w:val="17"/>
              </w:rPr>
              <w:t>38 of 60 external songs received Experimental as the main predicted genre.</w:t>
            </w:r>
          </w:p>
        </w:tc>
      </w:tr>
    </w:tbl>
    <w:p>
      <w:pPr>
        <w:spacing w:before="0" w:after="80"/>
      </w:pPr>
    </w:p>
    <w:p>
      <w:pPr>
        <w:jc w:val="center"/>
      </w:pPr>
      <w:r/>
    </w:p>
    <w:p>
      <w:pPr>
        <w:spacing w:after="160"/>
        <w:jc w:val="center"/>
      </w:pPr>
      <w:r>
        <w:rPr>
          <w:rFonts w:ascii="Calibri" w:hAnsi="Calibri"/>
          <w:i/>
          <w:color w:val="5A5A5A"/>
          <w:sz w:val="18"/>
        </w:rPr>
        <w:t>Figure 1. Final results snapshot using the current Notebook 49 and Notebook 50 outputs.</w:t>
      </w:r>
    </w:p>
    <w:p>
      <w:pPr/>
      <w:r>
        <w:t>Figure 1 shows the central pattern in the final evidence. The FMA test split produced strong Top-k results, while the external batch showed a more cautious picture. This difference shaped the conclusion that the system is more credible as a ranked support tool than as a fully automatic genre labeller.</w:t>
      </w:r>
    </w:p>
    <w:p>
      <w:pPr>
        <w:pStyle w:val="Heading1"/>
      </w:pPr>
      <w:r>
        <w:t>Table of Contents</w:t>
      </w:r>
    </w:p>
    <w:p>
      <w:pPr>
        <w:pStyle w:val="ListBullet"/>
        <w:spacing w:before="0" w:after="20" w:line="240" w:lineRule="auto"/>
      </w:pPr>
      <w:r>
        <w:t>1. Project Context and Scope</w:t>
      </w:r>
    </w:p>
    <w:p>
      <w:pPr>
        <w:pStyle w:val="ListBullet"/>
        <w:spacing w:before="0" w:after="20" w:line="240" w:lineRule="auto"/>
      </w:pPr>
      <w:r>
        <w:t>2. Project Background and Problem Statement</w:t>
      </w:r>
    </w:p>
    <w:p>
      <w:pPr>
        <w:pStyle w:val="ListBullet"/>
        <w:spacing w:before="0" w:after="20" w:line="240" w:lineRule="auto"/>
      </w:pPr>
      <w:r>
        <w:t>3. Proposal and Course Alignment</w:t>
      </w:r>
    </w:p>
    <w:p>
      <w:pPr>
        <w:pStyle w:val="ListBullet"/>
        <w:spacing w:before="0" w:after="20" w:line="240" w:lineRule="auto"/>
      </w:pPr>
      <w:r>
        <w:t>4. Dataset, Metadata, Storage, and Data Management</w:t>
      </w:r>
    </w:p>
    <w:p>
      <w:pPr>
        <w:pStyle w:val="ListBullet"/>
        <w:spacing w:before="0" w:after="20" w:line="240" w:lineRule="auto"/>
      </w:pPr>
      <w:r>
        <w:t>5. Genre Taxonomy and the 163-Genre Strategy</w:t>
      </w:r>
    </w:p>
    <w:p>
      <w:pPr>
        <w:pStyle w:val="ListBullet"/>
        <w:spacing w:before="0" w:after="20" w:line="240" w:lineRule="auto"/>
      </w:pPr>
      <w:r>
        <w:t>6. CRISP-DM and End-to-End Methodology</w:t>
      </w:r>
    </w:p>
    <w:p>
      <w:pPr>
        <w:pStyle w:val="ListBullet"/>
        <w:spacing w:before="0" w:after="20" w:line="240" w:lineRule="auto"/>
      </w:pPr>
      <w:r>
        <w:t>7. Notebook-by-Notebook Development Narrative</w:t>
      </w:r>
    </w:p>
    <w:p>
      <w:pPr>
        <w:pStyle w:val="ListBullet"/>
        <w:spacing w:before="0" w:after="20" w:line="240" w:lineRule="auto"/>
      </w:pPr>
      <w:r>
        <w:t>8. Modelling Approach, Three Branches, and Five Techniques</w:t>
      </w:r>
    </w:p>
    <w:p>
      <w:pPr>
        <w:pStyle w:val="ListBullet"/>
        <w:spacing w:before="0" w:after="20" w:line="240" w:lineRule="auto"/>
      </w:pPr>
      <w:r>
        <w:t>9. Formal FMA Test Evaluation: Notebook 49</w:t>
      </w:r>
    </w:p>
    <w:p>
      <w:pPr>
        <w:pStyle w:val="ListBullet"/>
        <w:spacing w:before="0" w:after="20" w:line="240" w:lineRule="auto"/>
      </w:pPr>
      <w:r>
        <w:t>10. External Audio Batch Evaluation: Notebook 50</w:t>
      </w:r>
    </w:p>
    <w:p>
      <w:pPr>
        <w:pStyle w:val="ListBullet"/>
        <w:spacing w:before="0" w:after="20" w:line="240" w:lineRule="auto"/>
      </w:pPr>
      <w:r>
        <w:t>11. Limitations, Risks, and Honest Interpretation</w:t>
      </w:r>
    </w:p>
    <w:p>
      <w:pPr>
        <w:pStyle w:val="ListBullet"/>
        <w:spacing w:before="0" w:after="20" w:line="240" w:lineRule="auto"/>
      </w:pPr>
      <w:r>
        <w:t>12. Reproducibility, Artefacts, and Submission Package</w:t>
      </w:r>
    </w:p>
    <w:p>
      <w:pPr>
        <w:pStyle w:val="ListBullet"/>
        <w:spacing w:before="0" w:after="20" w:line="240" w:lineRule="auto"/>
      </w:pPr>
      <w:r>
        <w:t>13. Conclusion and Future Work</w:t>
      </w:r>
    </w:p>
    <w:p>
      <w:pPr>
        <w:pStyle w:val="Heading1"/>
      </w:pPr>
      <w:r>
        <w:t>1. Project Context and Scope</w:t>
      </w:r>
    </w:p>
    <w:p>
      <w:pPr/>
      <w:r>
        <w:t>The work includes metadata, engineered audio features, raw audio, the FMA genre hierarchy, MongoDB storage, baseline models, audio CNNs, hybrid fusion, and inference-style outputs. Two final evaluation settings were used. Notebook 49 evaluates FMA test records, where the split and label structure come from the same source as the training process. Notebook 50 checks external open-licence songs, which is a harder and less controlled setting.</w:t>
      </w:r>
    </w:p>
    <w:p>
      <w:pPr/>
      <w:r>
        <w:t>The notebooks are the build trail. Early notebooks are exploratory and include first attempts at structured and audio modelling. Later notebooks are more settled: they expand the label set, tune thresholds, test hybrid fusion, and correct weak points found during evaluation. This progression matters because the final results make more sense when the earlier false starts and corrections are visible.</w:t>
      </w:r>
    </w:p>
    <w:p>
      <w:pPr>
        <w:pStyle w:val="Heading2"/>
      </w:pPr>
      <w:r>
        <w:t>1.1 Research Narrative and Audit Trail</w:t>
      </w:r>
    </w:p>
    <w:p>
      <w:pPr/>
      <w:r>
        <w:t>The six-month structure of the capstone shaped the work. The early part of the project focused on understanding the FMA metadata, checking whether audio files and feature tables could be linked reliably, and building small proof-of-concept models. The middle stage expanded the label space and compared structured, audio, and hybrid approaches. The final stage became more evaluative: the notebooks had to show whether the chosen approach held up on corrected FMA test records and on external songs.</w:t>
      </w:r>
    </w:p>
    <w:p>
      <w:pPr/>
      <w:r>
        <w:t>This staged path is important because the final pipeline was not known at the beginning. A simpler project could have stopped at a top-level genre classifier, but that would not have represented the FMA hierarchy well. The final direction emerged after the early models showed that a ranked, multi-label interpretation was more appropriate than a single-label framing.</w:t>
      </w:r>
    </w:p>
    <w:p>
      <w:pPr>
        <w:pStyle w:val="Heading1"/>
      </w:pPr>
      <w:r>
        <w:t>2. Project Background and Problem Statement</w:t>
      </w:r>
    </w:p>
    <w:p>
      <w:r>
        <w:t>Large music collections need genre tags for search, browsing, playlists, and catalogue review. Manual tagging does not scale well, and it is rarely fully consistent. Two listeners can tag the same track differently, especially when the song crosses genre boundaries. This makes the project useful, but it also means that exact one-label accuracy is too narrow as the only success measure.</w:t>
      </w:r>
    </w:p>
    <w:p>
      <w:r>
        <w:t>The approved title was Scalable Music Genre Classification and Audio Analytics Using the Free Music Archive Dataset. As the work developed, the task became broader than broad-genre classification. The system had to use metadata, audio features, raw audio windows, and the FMA hierarchy. It also had to return results in a form that made sense for music. A ranked list of genre candidates was therefore more defensible than forcing one final label too early.</w:t>
      </w:r>
    </w:p>
    <w:p>
      <w:pPr>
        <w:pStyle w:val="Heading2"/>
      </w:pPr>
      <w:r>
        <w:t>2.1 Alternative Problem Framings Considered</w:t>
      </w:r>
    </w:p>
    <w:p>
      <w:pPr/>
      <w:r>
        <w:t>Several possible framings were considered during the project. The simplest option was a single-label classifier based on top-level genres. That approach would have been easier to explain and evaluate, but it would have ignored the multi-label nature of the FMA genre hierarchy. A second option was to model all available genres directly. That was rejected because many labels had too few examples to support reliable direct prediction.</w:t>
      </w:r>
    </w:p>
    <w:p>
      <w:pPr/>
      <w:r>
        <w:t>The final framing sits between those extremes. It predicts a supported candidate set directly and keeps rare labels in a separate fallback role. This trade-off reduced the risk of overstating rare-label performance while still keeping the broader genre inventory visible in the system design.</w:t>
      </w:r>
    </w:p>
    <w:p>
      <w:pPr>
        <w:jc w:val="center"/>
      </w:pPr>
      <w:r/>
    </w:p>
    <w:p>
      <w:pPr>
        <w:spacing w:after="160"/>
        <w:jc w:val="center"/>
      </w:pPr>
      <w:r>
        <w:rPr>
          <w:rFonts w:ascii="Calibri" w:hAnsi="Calibri"/>
          <w:i/>
          <w:color w:val="5A5A5A"/>
          <w:sz w:val="18"/>
        </w:rPr>
        <w:t>Figure 2. Corrected end-to-end architecture for the full capstone system.</w:t>
      </w:r>
    </w:p>
    <w:p>
      <w:pPr/>
      <w:r>
        <w:t>The architecture in Figure 2 also explains why errors in early stages matter. Data cleaning, label mapping, and audio preparation all sit before prediction. If those stages are weak, the final genre scores become difficult to interpret even if the model itself runs successfully.</w:t>
      </w:r>
    </w:p>
    <w:p>
      <w:pPr/>
      <w:r>
        <w:t>Figure 2 shows why the work should be read as a system rather than a single classifier. The output depends on metadata preparation, label mapping, audio processing, model training, fusion, and evaluation. A weakness in any earlier stage would affect the final predictions.</w:t>
      </w:r>
    </w:p>
    <w:p>
      <w:pPr>
        <w:pStyle w:val="Heading1"/>
      </w:pPr>
      <w:r>
        <w:t>3. Proposal and Course Alignment</w:t>
      </w:r>
    </w:p>
    <w:p>
      <w:r>
        <w:t>The COMP6830 brief expects a complete data science project. That includes retrieval, cleaning, preparation, modelling, documentation, artefacts, presentation, and demonstration. It also calls for sizeable data and both structured and unstructured sources. This submission addresses those points through FMA metadata, feature tables, audio files, MongoDB records, notebooks, saved models, result files, and inference outputs. The final submission also includes notebook PDFs so the code and outputs can be reviewed without rerunning every step.</w:t>
      </w:r>
    </w:p>
    <w:tbl>
      <w:tblPr>
        <w:tblStyle w:val="TableGrid"/>
        <w:tblW w:type="dxa" w:w="9360"/>
        <w:tblLook w:firstColumn="1" w:firstRow="1" w:lastColumn="0" w:lastRow="0" w:noHBand="0" w:noVBand="1" w:val="04A0"/>
        <w:tblInd w:type="dxa" w:w="120"/>
      </w:tblPr>
      <w:tblGrid>
        <w:gridCol w:w="3300"/>
        <w:gridCol w:w="6060"/>
      </w:tblGrid>
      <w:tr>
        <w:trPr>
          <w:cantSplit/>
          <w:tblHeader/>
        </w:trPr>
        <w:tc>
          <w:tcPr>
            <w:tcW w:type="dxa" w:w="3300"/>
            <w:shd w:fill="1F4D78"/>
            <w:vAlign w:val="center"/>
          </w:tcPr>
          <w:p>
            <w:pPr>
              <w:spacing w:after="40"/>
              <w:jc w:val="center"/>
            </w:pPr>
            <w:r>
              <w:rPr>
                <w:rFonts w:ascii="Calibri" w:hAnsi="Calibri"/>
                <w:b/>
                <w:color w:val="FFFFFF"/>
                <w:sz w:val="18"/>
              </w:rPr>
              <w:t>Proposal or course expectation</w:t>
            </w:r>
          </w:p>
        </w:tc>
        <w:tc>
          <w:tcPr>
            <w:tcW w:type="dxa" w:w="6060"/>
            <w:shd w:fill="1F4D78"/>
            <w:vAlign w:val="center"/>
          </w:tcPr>
          <w:p>
            <w:pPr>
              <w:spacing w:after="40"/>
              <w:jc w:val="center"/>
            </w:pPr>
            <w:r>
              <w:rPr>
                <w:rFonts w:ascii="Calibri" w:hAnsi="Calibri"/>
                <w:b/>
                <w:color w:val="FFFFFF"/>
                <w:sz w:val="18"/>
              </w:rPr>
              <w:t>How the project addressed it</w:t>
            </w:r>
          </w:p>
        </w:tc>
      </w:tr>
      <w:tr>
        <w:trPr>
          <w:cantSplit/>
        </w:trPr>
        <w:tc>
          <w:tcPr>
            <w:tcW w:type="dxa" w:w="3300"/>
            <w:vAlign w:val="center"/>
          </w:tcPr>
          <w:p>
            <w:pPr>
              <w:spacing w:after="40"/>
            </w:pPr>
            <w:r>
              <w:rPr>
                <w:rFonts w:ascii="Calibri" w:hAnsi="Calibri"/>
                <w:color w:val="1E1E1E"/>
                <w:sz w:val="17"/>
              </w:rPr>
              <w:t>Large structured and unstructured data</w:t>
            </w:r>
          </w:p>
        </w:tc>
        <w:tc>
          <w:tcPr>
            <w:tcW w:type="dxa" w:w="6060"/>
            <w:vAlign w:val="center"/>
          </w:tcPr>
          <w:p>
            <w:pPr>
              <w:spacing w:after="40"/>
            </w:pPr>
            <w:r>
              <w:rPr>
                <w:rFonts w:ascii="Calibri" w:hAnsi="Calibri"/>
                <w:color w:val="1E1E1E"/>
                <w:sz w:val="17"/>
              </w:rPr>
              <w:t>FMA metadata/features were used as structured data and audio files were used as unstructured data.</w:t>
            </w:r>
          </w:p>
        </w:tc>
      </w:tr>
      <w:tr>
        <w:trPr>
          <w:cantSplit/>
        </w:trPr>
        <w:tc>
          <w:tcPr>
            <w:tcW w:type="dxa" w:w="3300"/>
            <w:vAlign w:val="center"/>
          </w:tcPr>
          <w:p>
            <w:pPr>
              <w:spacing w:after="40"/>
            </w:pPr>
            <w:r>
              <w:rPr>
                <w:rFonts w:ascii="Calibri" w:hAnsi="Calibri"/>
                <w:color w:val="1E1E1E"/>
                <w:sz w:val="17"/>
              </w:rPr>
              <w:t>Data retrieval and preparation</w:t>
            </w:r>
          </w:p>
        </w:tc>
        <w:tc>
          <w:tcPr>
            <w:tcW w:type="dxa" w:w="6060"/>
            <w:vAlign w:val="center"/>
          </w:tcPr>
          <w:p>
            <w:pPr>
              <w:spacing w:after="40"/>
            </w:pPr>
            <w:r>
              <w:rPr>
                <w:rFonts w:ascii="Calibri" w:hAnsi="Calibri"/>
                <w:color w:val="1E1E1E"/>
                <w:sz w:val="17"/>
              </w:rPr>
              <w:t>The project includes metadata parsing, split alignment, genre hierarchy analysis, label matrix construction, audio file checks, feature scaling, and saved processed tables.</w:t>
            </w:r>
          </w:p>
        </w:tc>
      </w:tr>
      <w:tr>
        <w:trPr>
          <w:cantSplit/>
        </w:trPr>
        <w:tc>
          <w:tcPr>
            <w:tcW w:type="dxa" w:w="3300"/>
            <w:vAlign w:val="center"/>
          </w:tcPr>
          <w:p>
            <w:pPr>
              <w:spacing w:after="40"/>
            </w:pPr>
            <w:r>
              <w:rPr>
                <w:rFonts w:ascii="Calibri" w:hAnsi="Calibri"/>
                <w:color w:val="1E1E1E"/>
                <w:sz w:val="17"/>
              </w:rPr>
              <w:t>Modelling</w:t>
            </w:r>
          </w:p>
        </w:tc>
        <w:tc>
          <w:tcPr>
            <w:tcW w:type="dxa" w:w="6060"/>
            <w:vAlign w:val="center"/>
          </w:tcPr>
          <w:p>
            <w:pPr>
              <w:spacing w:after="40"/>
            </w:pPr>
            <w:r>
              <w:rPr>
                <w:rFonts w:ascii="Calibri" w:hAnsi="Calibri"/>
                <w:color w:val="1E1E1E"/>
                <w:sz w:val="17"/>
              </w:rPr>
              <w:t>The project built structured models, audio CNNs, hybrid fusion, threshold tuning, and rare-label handling.</w:t>
            </w:r>
          </w:p>
        </w:tc>
      </w:tr>
      <w:tr>
        <w:trPr>
          <w:cantSplit/>
        </w:trPr>
        <w:tc>
          <w:tcPr>
            <w:tcW w:type="dxa" w:w="3300"/>
            <w:vAlign w:val="center"/>
          </w:tcPr>
          <w:p>
            <w:pPr>
              <w:spacing w:after="40"/>
            </w:pPr>
            <w:r>
              <w:rPr>
                <w:rFonts w:ascii="Calibri" w:hAnsi="Calibri"/>
                <w:color w:val="1E1E1E"/>
                <w:sz w:val="17"/>
              </w:rPr>
              <w:t>Evaluation</w:t>
            </w:r>
          </w:p>
        </w:tc>
        <w:tc>
          <w:tcPr>
            <w:tcW w:type="dxa" w:w="6060"/>
            <w:vAlign w:val="center"/>
          </w:tcPr>
          <w:p>
            <w:pPr>
              <w:spacing w:after="40"/>
            </w:pPr>
            <w:r>
              <w:rPr>
                <w:rFonts w:ascii="Calibri" w:hAnsi="Calibri"/>
                <w:color w:val="1E1E1E"/>
                <w:sz w:val="17"/>
              </w:rPr>
              <w:t>The project used Micro F1, Macro F1, Samples F1, per-label metrics, Top-k hit rates, low-confidence flags, and external-song evaluation.</w:t>
            </w:r>
          </w:p>
        </w:tc>
      </w:tr>
      <w:tr>
        <w:trPr>
          <w:cantSplit/>
        </w:trPr>
        <w:tc>
          <w:tcPr>
            <w:tcW w:type="dxa" w:w="3300"/>
            <w:vAlign w:val="center"/>
          </w:tcPr>
          <w:p>
            <w:pPr>
              <w:spacing w:after="40"/>
            </w:pPr>
            <w:r>
              <w:rPr>
                <w:rFonts w:ascii="Calibri" w:hAnsi="Calibri"/>
                <w:color w:val="1E1E1E"/>
                <w:sz w:val="17"/>
              </w:rPr>
              <w:t>Software artefacts</w:t>
            </w:r>
          </w:p>
        </w:tc>
        <w:tc>
          <w:tcPr>
            <w:tcW w:type="dxa" w:w="6060"/>
            <w:vAlign w:val="center"/>
          </w:tcPr>
          <w:p>
            <w:pPr>
              <w:spacing w:after="40"/>
            </w:pPr>
            <w:r>
              <w:rPr>
                <w:rFonts w:ascii="Calibri" w:hAnsi="Calibri"/>
                <w:color w:val="1E1E1E"/>
                <w:sz w:val="17"/>
              </w:rPr>
              <w:t>The submitted artefacts include notebooks, processed datasets, trained models, label arrays, thresholds, output CSV/JSON files, and documentation.</w:t>
            </w:r>
          </w:p>
        </w:tc>
      </w:tr>
    </w:tbl>
    <w:p>
      <w:pPr>
        <w:spacing w:before="0" w:after="80"/>
      </w:pPr>
    </w:p>
    <w:p>
      <w:pPr>
        <w:pStyle w:val="Heading1"/>
      </w:pPr>
      <w:r>
        <w:t>4. Dataset, Metadata, Storage, and Data Management</w:t>
      </w:r>
    </w:p>
    <w:p>
      <w:r>
        <w:t>The Free Music Archive was chosen because it is open, large, and suitable for repeatable research. The core files were tracks.csv, genres.csv, features.csv, and the audio folders. These files gave the project two different data streams. The structured branch used metadata and engineered features. The audio branch used raw songs converted into Mel-spectrogram windows. This split shaped the project because the two branches answered different questions: what can be learned from tabular descriptors, and what can be learned directly from the audio signal?</w:t>
      </w:r>
    </w:p>
    <w:p>
      <w:pPr>
        <w:pStyle w:val="Heading2"/>
      </w:pPr>
      <w:r>
        <w:t>4.1 Data Trade-offs and Practical Constraints</w:t>
      </w:r>
    </w:p>
    <w:p>
      <w:pPr/>
      <w:r>
        <w:t>Using FMA gave the project scale and openness, but it also introduced practical constraints. Not every label had strong support, and the hierarchy was more complex than a flat classification table. Audio availability also mattered because a track could be present in the metadata while still being unusable for audio modelling if the file path, feature preparation, or split alignment failed.</w:t>
      </w:r>
    </w:p>
    <w:p>
      <w:pPr/>
      <w:r>
        <w:t>These constraints affected modelling choices. The structured branch was easier to train and inspect, but it depended on engineered descriptors rather than the raw sound. The audio branch was more computationally demanding, but it captured information that the structured features could not fully represent. Keeping both branches allowed the project to compare these trade-offs rather than assuming one data source was sufficient.</w:t>
      </w:r>
    </w:p>
    <w:tbl>
      <w:tblPr>
        <w:tblStyle w:val="TableGrid"/>
        <w:tblW w:type="dxa" w:w="9360"/>
        <w:tblLook w:firstColumn="1" w:firstRow="1" w:lastColumn="0" w:lastRow="0" w:noHBand="0" w:noVBand="1" w:val="04A0"/>
        <w:tblInd w:type="dxa" w:w="120"/>
      </w:tblPr>
      <w:tblGrid>
        <w:gridCol w:w="1800"/>
        <w:gridCol w:w="5600"/>
        <w:gridCol w:w="1960"/>
      </w:tblGrid>
      <w:tr>
        <w:trPr>
          <w:cantSplit/>
          <w:tblHeader/>
        </w:trPr>
        <w:tc>
          <w:tcPr>
            <w:tcW w:type="dxa" w:w="1800"/>
            <w:shd w:fill="1F4D78"/>
            <w:vAlign w:val="center"/>
          </w:tcPr>
          <w:p>
            <w:pPr>
              <w:spacing w:after="40"/>
              <w:jc w:val="center"/>
            </w:pPr>
            <w:r>
              <w:rPr>
                <w:rFonts w:ascii="Calibri" w:hAnsi="Calibri"/>
                <w:b/>
                <w:color w:val="FFFFFF"/>
                <w:sz w:val="18"/>
              </w:rPr>
              <w:t>Data component</w:t>
            </w:r>
          </w:p>
        </w:tc>
        <w:tc>
          <w:tcPr>
            <w:tcW w:type="dxa" w:w="5600"/>
            <w:shd w:fill="1F4D78"/>
            <w:vAlign w:val="center"/>
          </w:tcPr>
          <w:p>
            <w:pPr>
              <w:spacing w:after="40"/>
              <w:jc w:val="center"/>
            </w:pPr>
            <w:r>
              <w:rPr>
                <w:rFonts w:ascii="Calibri" w:hAnsi="Calibri"/>
                <w:b/>
                <w:color w:val="FFFFFF"/>
                <w:sz w:val="18"/>
              </w:rPr>
              <w:t>Purpose in the project</w:t>
            </w:r>
          </w:p>
        </w:tc>
        <w:tc>
          <w:tcPr>
            <w:tcW w:type="dxa" w:w="1960"/>
            <w:shd w:fill="1F4D78"/>
            <w:vAlign w:val="center"/>
          </w:tcPr>
          <w:p>
            <w:pPr>
              <w:spacing w:after="40"/>
              <w:jc w:val="center"/>
            </w:pPr>
            <w:r>
              <w:rPr>
                <w:rFonts w:ascii="Calibri" w:hAnsi="Calibri"/>
                <w:b/>
                <w:color w:val="FFFFFF"/>
                <w:sz w:val="18"/>
              </w:rPr>
              <w:t>Type</w:t>
            </w:r>
          </w:p>
        </w:tc>
      </w:tr>
      <w:tr>
        <w:trPr>
          <w:cantSplit/>
        </w:trPr>
        <w:tc>
          <w:tcPr>
            <w:tcW w:type="dxa" w:w="1800"/>
            <w:vAlign w:val="center"/>
          </w:tcPr>
          <w:p>
            <w:pPr>
              <w:spacing w:after="40"/>
            </w:pPr>
            <w:r>
              <w:rPr>
                <w:rFonts w:ascii="Calibri" w:hAnsi="Calibri"/>
                <w:color w:val="1E1E1E"/>
                <w:sz w:val="17"/>
              </w:rPr>
              <w:t>tracks.csv</w:t>
            </w:r>
          </w:p>
        </w:tc>
        <w:tc>
          <w:tcPr>
            <w:tcW w:type="dxa" w:w="5600"/>
            <w:vAlign w:val="center"/>
          </w:tcPr>
          <w:p>
            <w:pPr>
              <w:spacing w:after="40"/>
            </w:pPr>
            <w:r>
              <w:rPr>
                <w:rFonts w:ascii="Calibri" w:hAnsi="Calibri"/>
                <w:color w:val="1E1E1E"/>
                <w:sz w:val="17"/>
              </w:rPr>
              <w:t>Track IDs, split indicators, title/artist fields, and genre relationships.</w:t>
            </w:r>
          </w:p>
        </w:tc>
        <w:tc>
          <w:tcPr>
            <w:tcW w:type="dxa" w:w="1960"/>
            <w:vAlign w:val="center"/>
          </w:tcPr>
          <w:p>
            <w:pPr>
              <w:spacing w:after="40"/>
            </w:pPr>
            <w:r>
              <w:rPr>
                <w:rFonts w:ascii="Calibri" w:hAnsi="Calibri"/>
                <w:color w:val="1E1E1E"/>
                <w:sz w:val="17"/>
              </w:rPr>
              <w:t>Structured</w:t>
            </w:r>
          </w:p>
        </w:tc>
      </w:tr>
      <w:tr>
        <w:trPr>
          <w:cantSplit/>
        </w:trPr>
        <w:tc>
          <w:tcPr>
            <w:tcW w:type="dxa" w:w="1800"/>
            <w:vAlign w:val="center"/>
          </w:tcPr>
          <w:p>
            <w:pPr>
              <w:spacing w:after="40"/>
            </w:pPr>
            <w:r>
              <w:rPr>
                <w:rFonts w:ascii="Calibri" w:hAnsi="Calibri"/>
                <w:color w:val="1E1E1E"/>
                <w:sz w:val="17"/>
              </w:rPr>
              <w:t>genres.csv</w:t>
            </w:r>
          </w:p>
        </w:tc>
        <w:tc>
          <w:tcPr>
            <w:tcW w:type="dxa" w:w="5600"/>
            <w:vAlign w:val="center"/>
          </w:tcPr>
          <w:p>
            <w:pPr>
              <w:spacing w:after="40"/>
            </w:pPr>
            <w:r>
              <w:rPr>
                <w:rFonts w:ascii="Calibri" w:hAnsi="Calibri"/>
                <w:color w:val="1E1E1E"/>
                <w:sz w:val="17"/>
              </w:rPr>
              <w:t>Genre IDs, names, parent relationships, and hierarchy mapping.</w:t>
            </w:r>
          </w:p>
        </w:tc>
        <w:tc>
          <w:tcPr>
            <w:tcW w:type="dxa" w:w="1960"/>
            <w:vAlign w:val="center"/>
          </w:tcPr>
          <w:p>
            <w:pPr>
              <w:spacing w:after="40"/>
            </w:pPr>
            <w:r>
              <w:rPr>
                <w:rFonts w:ascii="Calibri" w:hAnsi="Calibri"/>
                <w:color w:val="1E1E1E"/>
                <w:sz w:val="17"/>
              </w:rPr>
              <w:t>Structured</w:t>
            </w:r>
          </w:p>
        </w:tc>
      </w:tr>
      <w:tr>
        <w:trPr>
          <w:cantSplit/>
        </w:trPr>
        <w:tc>
          <w:tcPr>
            <w:tcW w:type="dxa" w:w="1800"/>
            <w:vAlign w:val="center"/>
          </w:tcPr>
          <w:p>
            <w:pPr>
              <w:spacing w:after="40"/>
            </w:pPr>
            <w:r>
              <w:rPr>
                <w:rFonts w:ascii="Calibri" w:hAnsi="Calibri"/>
                <w:color w:val="1E1E1E"/>
                <w:sz w:val="17"/>
              </w:rPr>
              <w:t>features.csv</w:t>
            </w:r>
          </w:p>
        </w:tc>
        <w:tc>
          <w:tcPr>
            <w:tcW w:type="dxa" w:w="5600"/>
            <w:vAlign w:val="center"/>
          </w:tcPr>
          <w:p>
            <w:pPr>
              <w:spacing w:after="40"/>
            </w:pPr>
            <w:r>
              <w:rPr>
                <w:rFonts w:ascii="Calibri" w:hAnsi="Calibri"/>
                <w:color w:val="1E1E1E"/>
                <w:sz w:val="17"/>
              </w:rPr>
              <w:t>Engineered audio descriptors such as spectral and timbral statistics.</w:t>
            </w:r>
          </w:p>
        </w:tc>
        <w:tc>
          <w:tcPr>
            <w:tcW w:type="dxa" w:w="1960"/>
            <w:vAlign w:val="center"/>
          </w:tcPr>
          <w:p>
            <w:pPr>
              <w:spacing w:after="40"/>
            </w:pPr>
            <w:r>
              <w:rPr>
                <w:rFonts w:ascii="Calibri" w:hAnsi="Calibri"/>
                <w:color w:val="1E1E1E"/>
                <w:sz w:val="17"/>
              </w:rPr>
              <w:t>Structured</w:t>
            </w:r>
          </w:p>
        </w:tc>
      </w:tr>
      <w:tr>
        <w:trPr>
          <w:cantSplit/>
        </w:trPr>
        <w:tc>
          <w:tcPr>
            <w:tcW w:type="dxa" w:w="1800"/>
            <w:vAlign w:val="center"/>
          </w:tcPr>
          <w:p>
            <w:pPr>
              <w:spacing w:after="40"/>
            </w:pPr>
            <w:r>
              <w:rPr>
                <w:rFonts w:ascii="Calibri" w:hAnsi="Calibri"/>
                <w:color w:val="1E1E1E"/>
                <w:sz w:val="17"/>
              </w:rPr>
              <w:t>Audio files</w:t>
            </w:r>
          </w:p>
        </w:tc>
        <w:tc>
          <w:tcPr>
            <w:tcW w:type="dxa" w:w="5600"/>
            <w:vAlign w:val="center"/>
          </w:tcPr>
          <w:p>
            <w:pPr>
              <w:spacing w:after="40"/>
            </w:pPr>
            <w:r>
              <w:rPr>
                <w:rFonts w:ascii="Calibri" w:hAnsi="Calibri"/>
                <w:color w:val="1E1E1E"/>
                <w:sz w:val="17"/>
              </w:rPr>
              <w:t>Raw waveform signal for Mel-spectrogram CNN modelling.</w:t>
            </w:r>
          </w:p>
        </w:tc>
        <w:tc>
          <w:tcPr>
            <w:tcW w:type="dxa" w:w="1960"/>
            <w:vAlign w:val="center"/>
          </w:tcPr>
          <w:p>
            <w:pPr>
              <w:spacing w:after="40"/>
            </w:pPr>
            <w:r>
              <w:rPr>
                <w:rFonts w:ascii="Calibri" w:hAnsi="Calibri"/>
                <w:color w:val="1E1E1E"/>
                <w:sz w:val="17"/>
              </w:rPr>
              <w:t>Unstructured</w:t>
            </w:r>
          </w:p>
        </w:tc>
      </w:tr>
      <w:tr>
        <w:trPr>
          <w:cantSplit/>
        </w:trPr>
        <w:tc>
          <w:tcPr>
            <w:tcW w:type="dxa" w:w="1800"/>
            <w:vAlign w:val="center"/>
          </w:tcPr>
          <w:p>
            <w:pPr>
              <w:spacing w:after="40"/>
            </w:pPr>
            <w:r>
              <w:rPr>
                <w:rFonts w:ascii="Calibri" w:hAnsi="Calibri"/>
                <w:color w:val="1E1E1E"/>
                <w:sz w:val="17"/>
              </w:rPr>
              <w:t>MongoDB records</w:t>
            </w:r>
          </w:p>
        </w:tc>
        <w:tc>
          <w:tcPr>
            <w:tcW w:type="dxa" w:w="5600"/>
            <w:vAlign w:val="center"/>
          </w:tcPr>
          <w:p>
            <w:pPr>
              <w:spacing w:after="40"/>
            </w:pPr>
            <w:r>
              <w:rPr>
                <w:rFonts w:ascii="Calibri" w:hAnsi="Calibri"/>
                <w:color w:val="1E1E1E"/>
                <w:sz w:val="17"/>
              </w:rPr>
              <w:t>Unified semi-structured records linking track IDs, metadata, labels, features, and audio paths.</w:t>
            </w:r>
          </w:p>
        </w:tc>
        <w:tc>
          <w:tcPr>
            <w:tcW w:type="dxa" w:w="1960"/>
            <w:vAlign w:val="center"/>
          </w:tcPr>
          <w:p>
            <w:pPr>
              <w:spacing w:after="40"/>
            </w:pPr>
            <w:r>
              <w:rPr>
                <w:rFonts w:ascii="Calibri" w:hAnsi="Calibri"/>
                <w:color w:val="1E1E1E"/>
                <w:sz w:val="17"/>
              </w:rPr>
              <w:t>Semi-structured</w:t>
            </w:r>
          </w:p>
        </w:tc>
      </w:tr>
      <w:tr>
        <w:trPr>
          <w:cantSplit/>
        </w:trPr>
        <w:tc>
          <w:tcPr>
            <w:tcW w:type="dxa" w:w="1800"/>
            <w:vAlign w:val="center"/>
          </w:tcPr>
          <w:p>
            <w:pPr>
              <w:spacing w:after="40"/>
            </w:pPr>
            <w:r>
              <w:rPr>
                <w:rFonts w:ascii="Calibri" w:hAnsi="Calibri"/>
                <w:color w:val="1E1E1E"/>
                <w:sz w:val="17"/>
              </w:rPr>
              <w:t>External manifest</w:t>
            </w:r>
          </w:p>
        </w:tc>
        <w:tc>
          <w:tcPr>
            <w:tcW w:type="dxa" w:w="5600"/>
            <w:vAlign w:val="center"/>
          </w:tcPr>
          <w:p>
            <w:pPr>
              <w:spacing w:after="40"/>
            </w:pPr>
            <w:r>
              <w:rPr>
                <w:rFonts w:ascii="Calibri" w:hAnsi="Calibri"/>
                <w:color w:val="1E1E1E"/>
                <w:sz w:val="17"/>
              </w:rPr>
              <w:t>Audit table for legal external song evaluation, source URLs, licences, and acceptable labels.</w:t>
            </w:r>
          </w:p>
        </w:tc>
        <w:tc>
          <w:tcPr>
            <w:tcW w:type="dxa" w:w="1960"/>
            <w:vAlign w:val="center"/>
          </w:tcPr>
          <w:p>
            <w:pPr>
              <w:spacing w:after="40"/>
            </w:pPr>
            <w:r>
              <w:rPr>
                <w:rFonts w:ascii="Calibri" w:hAnsi="Calibri"/>
                <w:color w:val="1E1E1E"/>
                <w:sz w:val="17"/>
              </w:rPr>
              <w:t>Structured</w:t>
            </w:r>
          </w:p>
        </w:tc>
      </w:tr>
    </w:tbl>
    <w:p>
      <w:pPr>
        <w:spacing w:before="0" w:after="80"/>
      </w:pPr>
    </w:p>
    <w:p>
      <w:r>
        <w:t>MongoDB was used for records that did not fit neatly into a flat table, especially genre hierarchy information. It also added a data engineering layer to the project. In practical terms, this helped keep the work closer to a pipeline design than a one-off notebook exercise. The database component was not the main predictor, but it supported the organisation of semi-structured metadata and hierarchy-aware genre records.</w:t>
      </w:r>
    </w:p>
    <w:p>
      <w:pPr/>
      <w:r>
        <w:t>The project also had a Big Data management problem, not only a modelling problem. The raw audio, metadata tables, feature vectors, train-test split fields, model outputs, and external-song manifest all had to agree on track identity. Small mismatches could remove valid records from testing or create misleading results. This was seen most clearly when an empty test selection appeared during final evaluation. The issue was not a failed model; it was a data selection problem that had to be corrected before the results could be trusted.</w:t>
      </w:r>
    </w:p>
    <w:p>
      <w:pPr/>
      <w:r>
        <w:t>The genre hierarchy created a second source of complexity. Broad labels such as Rock or Electronic had far more support than many narrow labels. That made the model better at identifying common families than rare subgenres. The final 163-genre plan was therefore a design choice based on evidence. It kept the full taxonomy visible, but it separated direct prediction from fallback and inventory-only labels. This avoided overstating what the data could support.</w:t>
      </w:r>
    </w:p>
    <w:p>
      <w:pPr>
        <w:pStyle w:val="Heading1"/>
      </w:pPr>
      <w:r>
        <w:t>5. Genre Taxonomy and the 163-Genre Strategy</w:t>
      </w:r>
    </w:p>
    <w:p>
      <w:r>
        <w:t>The final inventory contains 163 genre records. They are not all treated in the same way. The project uses 150 direct candidate labels, 10 rare-tail fallback labels, and 3 inventory-only labels.</w:t>
      </w:r>
    </w:p>
    <w:p>
      <w:pPr>
        <w:jc w:val="center"/>
      </w:pPr>
      <w:r/>
    </w:p>
    <w:p>
      <w:pPr>
        <w:spacing w:after="160"/>
        <w:jc w:val="center"/>
      </w:pPr>
      <w:r>
        <w:rPr>
          <w:rFonts w:ascii="Calibri" w:hAnsi="Calibri"/>
          <w:i/>
          <w:color w:val="5A5A5A"/>
          <w:sz w:val="18"/>
        </w:rPr>
        <w:t>Figure 3. Corrected 163-genre label strategy used for the final documentation.</w:t>
      </w:r>
    </w:p>
    <w:p>
      <w:pPr/>
      <w:r>
        <w:t>Figure 3 is included because the genre count changed during the project. The final documentation uses 163 records and separates direct prediction from fallback and inventory-only handling. This correction prevents the taxonomy from being overstated.</w:t>
      </w:r>
    </w:p>
    <w:p>
      <w:r>
        <w:t>This split is important. The 150 candidate labels had enough support for direct modelling. The 10 rare labels did not have enough data for strong direct claims, so they are reported as fallback suggestions. The 3 inventory-only labels are kept so the taxonomy remains complete. They are not presented as direct model predictions. This is a conservative choice, but it is the more honest one within the available data.</w:t>
      </w:r>
    </w:p>
    <w:tbl>
      <w:tblPr>
        <w:tblStyle w:val="TableGrid"/>
        <w:tblW w:type="dxa" w:w="9360"/>
        <w:tblLook w:firstColumn="1" w:firstRow="1" w:lastColumn="0" w:lastRow="0" w:noHBand="0" w:noVBand="1" w:val="04A0"/>
        <w:tblInd w:type="dxa" w:w="120"/>
      </w:tblPr>
      <w:tblGrid>
        <w:gridCol w:w="1600"/>
        <w:gridCol w:w="4000"/>
        <w:gridCol w:w="3760"/>
      </w:tblGrid>
      <w:tr>
        <w:trPr>
          <w:cantSplit/>
          <w:tblHeader/>
        </w:trPr>
        <w:tc>
          <w:tcPr>
            <w:tcW w:type="dxa" w:w="1600"/>
            <w:shd w:fill="1F4D78"/>
            <w:vAlign w:val="center"/>
          </w:tcPr>
          <w:p>
            <w:pPr>
              <w:spacing w:after="40"/>
              <w:jc w:val="center"/>
            </w:pPr>
            <w:r>
              <w:rPr>
                <w:rFonts w:ascii="Calibri" w:hAnsi="Calibri"/>
                <w:b/>
                <w:color w:val="FFFFFF"/>
                <w:sz w:val="18"/>
              </w:rPr>
              <w:t>Genre ID</w:t>
            </w:r>
          </w:p>
        </w:tc>
        <w:tc>
          <w:tcPr>
            <w:tcW w:type="dxa" w:w="4000"/>
            <w:shd w:fill="1F4D78"/>
            <w:vAlign w:val="center"/>
          </w:tcPr>
          <w:p>
            <w:pPr>
              <w:spacing w:after="40"/>
              <w:jc w:val="center"/>
            </w:pPr>
            <w:r>
              <w:rPr>
                <w:rFonts w:ascii="Calibri" w:hAnsi="Calibri"/>
                <w:b/>
                <w:color w:val="FFFFFF"/>
                <w:sz w:val="18"/>
              </w:rPr>
              <w:t>Genre name</w:t>
            </w:r>
          </w:p>
        </w:tc>
        <w:tc>
          <w:tcPr>
            <w:tcW w:type="dxa" w:w="3760"/>
            <w:shd w:fill="1F4D78"/>
            <w:vAlign w:val="center"/>
          </w:tcPr>
          <w:p>
            <w:pPr>
              <w:spacing w:after="40"/>
              <w:jc w:val="center"/>
            </w:pPr>
            <w:r>
              <w:rPr>
                <w:rFonts w:ascii="Calibri" w:hAnsi="Calibri"/>
                <w:b/>
                <w:color w:val="FFFFFF"/>
                <w:sz w:val="18"/>
              </w:rPr>
              <w:t>Total count</w:t>
            </w:r>
          </w:p>
        </w:tc>
      </w:tr>
      <w:tr>
        <w:trPr>
          <w:cantSplit/>
        </w:trPr>
        <w:tc>
          <w:tcPr>
            <w:tcW w:type="dxa" w:w="1600"/>
            <w:vAlign w:val="center"/>
          </w:tcPr>
          <w:p>
            <w:pPr>
              <w:spacing w:after="40"/>
            </w:pPr>
            <w:r>
              <w:rPr>
                <w:rFonts w:ascii="Calibri" w:hAnsi="Calibri"/>
                <w:color w:val="1E1E1E"/>
                <w:sz w:val="17"/>
              </w:rPr>
              <w:t>38</w:t>
            </w:r>
          </w:p>
        </w:tc>
        <w:tc>
          <w:tcPr>
            <w:tcW w:type="dxa" w:w="4000"/>
            <w:vAlign w:val="center"/>
          </w:tcPr>
          <w:p>
            <w:pPr>
              <w:spacing w:after="40"/>
            </w:pPr>
            <w:r>
              <w:rPr>
                <w:rFonts w:ascii="Calibri" w:hAnsi="Calibri"/>
                <w:color w:val="1E1E1E"/>
                <w:sz w:val="17"/>
              </w:rPr>
              <w:t>Experimental</w:t>
            </w:r>
          </w:p>
        </w:tc>
        <w:tc>
          <w:tcPr>
            <w:tcW w:type="dxa" w:w="3760"/>
            <w:vAlign w:val="center"/>
          </w:tcPr>
          <w:p>
            <w:pPr>
              <w:spacing w:after="40"/>
            </w:pPr>
            <w:r>
              <w:rPr>
                <w:rFonts w:ascii="Calibri" w:hAnsi="Calibri"/>
                <w:color w:val="1E1E1E"/>
                <w:sz w:val="17"/>
              </w:rPr>
              <w:t>35903</w:t>
            </w:r>
          </w:p>
        </w:tc>
      </w:tr>
      <w:tr>
        <w:trPr>
          <w:cantSplit/>
        </w:trPr>
        <w:tc>
          <w:tcPr>
            <w:tcW w:type="dxa" w:w="1600"/>
            <w:vAlign w:val="center"/>
          </w:tcPr>
          <w:p>
            <w:pPr>
              <w:spacing w:after="40"/>
            </w:pPr>
            <w:r>
              <w:rPr>
                <w:rFonts w:ascii="Calibri" w:hAnsi="Calibri"/>
                <w:color w:val="1E1E1E"/>
                <w:sz w:val="17"/>
              </w:rPr>
              <w:t>15</w:t>
            </w:r>
          </w:p>
        </w:tc>
        <w:tc>
          <w:tcPr>
            <w:tcW w:type="dxa" w:w="4000"/>
            <w:vAlign w:val="center"/>
          </w:tcPr>
          <w:p>
            <w:pPr>
              <w:spacing w:after="40"/>
            </w:pPr>
            <w:r>
              <w:rPr>
                <w:rFonts w:ascii="Calibri" w:hAnsi="Calibri"/>
                <w:color w:val="1E1E1E"/>
                <w:sz w:val="17"/>
              </w:rPr>
              <w:t>Electronic</w:t>
            </w:r>
          </w:p>
        </w:tc>
        <w:tc>
          <w:tcPr>
            <w:tcW w:type="dxa" w:w="3760"/>
            <w:vAlign w:val="center"/>
          </w:tcPr>
          <w:p>
            <w:pPr>
              <w:spacing w:after="40"/>
            </w:pPr>
            <w:r>
              <w:rPr>
                <w:rFonts w:ascii="Calibri" w:hAnsi="Calibri"/>
                <w:color w:val="1E1E1E"/>
                <w:sz w:val="17"/>
              </w:rPr>
              <w:t>28099</w:t>
            </w:r>
          </w:p>
        </w:tc>
      </w:tr>
      <w:tr>
        <w:trPr>
          <w:cantSplit/>
        </w:trPr>
        <w:tc>
          <w:tcPr>
            <w:tcW w:type="dxa" w:w="1600"/>
            <w:vAlign w:val="center"/>
          </w:tcPr>
          <w:p>
            <w:pPr>
              <w:spacing w:after="40"/>
            </w:pPr>
            <w:r>
              <w:rPr>
                <w:rFonts w:ascii="Calibri" w:hAnsi="Calibri"/>
                <w:color w:val="1E1E1E"/>
                <w:sz w:val="17"/>
              </w:rPr>
              <w:t>12</w:t>
            </w:r>
          </w:p>
        </w:tc>
        <w:tc>
          <w:tcPr>
            <w:tcW w:type="dxa" w:w="4000"/>
            <w:vAlign w:val="center"/>
          </w:tcPr>
          <w:p>
            <w:pPr>
              <w:spacing w:after="40"/>
            </w:pPr>
            <w:r>
              <w:rPr>
                <w:rFonts w:ascii="Calibri" w:hAnsi="Calibri"/>
                <w:color w:val="1E1E1E"/>
                <w:sz w:val="17"/>
              </w:rPr>
              <w:t>Rock</w:t>
            </w:r>
          </w:p>
        </w:tc>
        <w:tc>
          <w:tcPr>
            <w:tcW w:type="dxa" w:w="3760"/>
            <w:vAlign w:val="center"/>
          </w:tcPr>
          <w:p>
            <w:pPr>
              <w:spacing w:after="40"/>
            </w:pPr>
            <w:r>
              <w:rPr>
                <w:rFonts w:ascii="Calibri" w:hAnsi="Calibri"/>
                <w:color w:val="1E1E1E"/>
                <w:sz w:val="17"/>
              </w:rPr>
              <w:t>25820</w:t>
            </w:r>
          </w:p>
        </w:tc>
      </w:tr>
      <w:tr>
        <w:trPr>
          <w:cantSplit/>
        </w:trPr>
        <w:tc>
          <w:tcPr>
            <w:tcW w:type="dxa" w:w="1600"/>
            <w:vAlign w:val="center"/>
          </w:tcPr>
          <w:p>
            <w:pPr>
              <w:spacing w:after="40"/>
            </w:pPr>
            <w:r>
              <w:rPr>
                <w:rFonts w:ascii="Calibri" w:hAnsi="Calibri"/>
                <w:color w:val="1E1E1E"/>
                <w:sz w:val="17"/>
              </w:rPr>
              <w:t>1235</w:t>
            </w:r>
          </w:p>
        </w:tc>
        <w:tc>
          <w:tcPr>
            <w:tcW w:type="dxa" w:w="4000"/>
            <w:vAlign w:val="center"/>
          </w:tcPr>
          <w:p>
            <w:pPr>
              <w:spacing w:after="40"/>
            </w:pPr>
            <w:r>
              <w:rPr>
                <w:rFonts w:ascii="Calibri" w:hAnsi="Calibri"/>
                <w:color w:val="1E1E1E"/>
                <w:sz w:val="17"/>
              </w:rPr>
              <w:t>Instrumental</w:t>
            </w:r>
          </w:p>
        </w:tc>
        <w:tc>
          <w:tcPr>
            <w:tcW w:type="dxa" w:w="3760"/>
            <w:vAlign w:val="center"/>
          </w:tcPr>
          <w:p>
            <w:pPr>
              <w:spacing w:after="40"/>
            </w:pPr>
            <w:r>
              <w:rPr>
                <w:rFonts w:ascii="Calibri" w:hAnsi="Calibri"/>
                <w:color w:val="1E1E1E"/>
                <w:sz w:val="17"/>
              </w:rPr>
              <w:t>13588</w:t>
            </w:r>
          </w:p>
        </w:tc>
      </w:tr>
      <w:tr>
        <w:trPr>
          <w:cantSplit/>
        </w:trPr>
        <w:tc>
          <w:tcPr>
            <w:tcW w:type="dxa" w:w="1600"/>
            <w:vAlign w:val="center"/>
          </w:tcPr>
          <w:p>
            <w:pPr>
              <w:spacing w:after="40"/>
            </w:pPr>
            <w:r>
              <w:rPr>
                <w:rFonts w:ascii="Calibri" w:hAnsi="Calibri"/>
                <w:color w:val="1E1E1E"/>
                <w:sz w:val="17"/>
              </w:rPr>
              <w:t>10</w:t>
            </w:r>
          </w:p>
        </w:tc>
        <w:tc>
          <w:tcPr>
            <w:tcW w:type="dxa" w:w="4000"/>
            <w:vAlign w:val="center"/>
          </w:tcPr>
          <w:p>
            <w:pPr>
              <w:spacing w:after="40"/>
            </w:pPr>
            <w:r>
              <w:rPr>
                <w:rFonts w:ascii="Calibri" w:hAnsi="Calibri"/>
                <w:color w:val="1E1E1E"/>
                <w:sz w:val="17"/>
              </w:rPr>
              <w:t>Pop</w:t>
            </w:r>
          </w:p>
        </w:tc>
        <w:tc>
          <w:tcPr>
            <w:tcW w:type="dxa" w:w="3760"/>
            <w:vAlign w:val="center"/>
          </w:tcPr>
          <w:p>
            <w:pPr>
              <w:spacing w:after="40"/>
            </w:pPr>
            <w:r>
              <w:rPr>
                <w:rFonts w:ascii="Calibri" w:hAnsi="Calibri"/>
                <w:color w:val="1E1E1E"/>
                <w:sz w:val="17"/>
              </w:rPr>
              <w:t>12659</w:t>
            </w:r>
          </w:p>
        </w:tc>
      </w:tr>
      <w:tr>
        <w:trPr>
          <w:cantSplit/>
        </w:trPr>
        <w:tc>
          <w:tcPr>
            <w:tcW w:type="dxa" w:w="1600"/>
            <w:vAlign w:val="center"/>
          </w:tcPr>
          <w:p>
            <w:pPr>
              <w:spacing w:after="40"/>
            </w:pPr>
            <w:r>
              <w:rPr>
                <w:rFonts w:ascii="Calibri" w:hAnsi="Calibri"/>
                <w:color w:val="1E1E1E"/>
                <w:sz w:val="17"/>
              </w:rPr>
              <w:t>17</w:t>
            </w:r>
          </w:p>
        </w:tc>
        <w:tc>
          <w:tcPr>
            <w:tcW w:type="dxa" w:w="4000"/>
            <w:vAlign w:val="center"/>
          </w:tcPr>
          <w:p>
            <w:pPr>
              <w:spacing w:after="40"/>
            </w:pPr>
            <w:r>
              <w:rPr>
                <w:rFonts w:ascii="Calibri" w:hAnsi="Calibri"/>
                <w:color w:val="1E1E1E"/>
                <w:sz w:val="17"/>
              </w:rPr>
              <w:t>Folk</w:t>
            </w:r>
          </w:p>
        </w:tc>
        <w:tc>
          <w:tcPr>
            <w:tcW w:type="dxa" w:w="3760"/>
            <w:vAlign w:val="center"/>
          </w:tcPr>
          <w:p>
            <w:pPr>
              <w:spacing w:after="40"/>
            </w:pPr>
            <w:r>
              <w:rPr>
                <w:rFonts w:ascii="Calibri" w:hAnsi="Calibri"/>
                <w:color w:val="1E1E1E"/>
                <w:sz w:val="17"/>
              </w:rPr>
              <w:t>11187</w:t>
            </w:r>
          </w:p>
        </w:tc>
      </w:tr>
      <w:tr>
        <w:trPr>
          <w:cantSplit/>
        </w:trPr>
        <w:tc>
          <w:tcPr>
            <w:tcW w:type="dxa" w:w="1600"/>
            <w:vAlign w:val="center"/>
          </w:tcPr>
          <w:p>
            <w:pPr>
              <w:spacing w:after="40"/>
            </w:pPr>
            <w:r>
              <w:rPr>
                <w:rFonts w:ascii="Calibri" w:hAnsi="Calibri"/>
                <w:color w:val="1E1E1E"/>
                <w:sz w:val="17"/>
              </w:rPr>
              <w:t>1</w:t>
            </w:r>
          </w:p>
        </w:tc>
        <w:tc>
          <w:tcPr>
            <w:tcW w:type="dxa" w:w="4000"/>
            <w:vAlign w:val="center"/>
          </w:tcPr>
          <w:p>
            <w:pPr>
              <w:spacing w:after="40"/>
            </w:pPr>
            <w:r>
              <w:rPr>
                <w:rFonts w:ascii="Calibri" w:hAnsi="Calibri"/>
                <w:color w:val="1E1E1E"/>
                <w:sz w:val="17"/>
              </w:rPr>
              <w:t>Avant-Garde</w:t>
            </w:r>
          </w:p>
        </w:tc>
        <w:tc>
          <w:tcPr>
            <w:tcW w:type="dxa" w:w="3760"/>
            <w:vAlign w:val="center"/>
          </w:tcPr>
          <w:p>
            <w:pPr>
              <w:spacing w:after="40"/>
            </w:pPr>
            <w:r>
              <w:rPr>
                <w:rFonts w:ascii="Calibri" w:hAnsi="Calibri"/>
                <w:color w:val="1E1E1E"/>
                <w:sz w:val="17"/>
              </w:rPr>
              <w:t>8134</w:t>
            </w:r>
          </w:p>
        </w:tc>
      </w:tr>
      <w:tr>
        <w:trPr>
          <w:cantSplit/>
        </w:trPr>
        <w:tc>
          <w:tcPr>
            <w:tcW w:type="dxa" w:w="1600"/>
            <w:vAlign w:val="center"/>
          </w:tcPr>
          <w:p>
            <w:pPr>
              <w:spacing w:after="40"/>
            </w:pPr>
            <w:r>
              <w:rPr>
                <w:rFonts w:ascii="Calibri" w:hAnsi="Calibri"/>
                <w:color w:val="1E1E1E"/>
                <w:sz w:val="17"/>
              </w:rPr>
              <w:t>107</w:t>
            </w:r>
          </w:p>
        </w:tc>
        <w:tc>
          <w:tcPr>
            <w:tcW w:type="dxa" w:w="4000"/>
            <w:vAlign w:val="center"/>
          </w:tcPr>
          <w:p>
            <w:pPr>
              <w:spacing w:after="40"/>
            </w:pPr>
            <w:r>
              <w:rPr>
                <w:rFonts w:ascii="Calibri" w:hAnsi="Calibri"/>
                <w:color w:val="1E1E1E"/>
                <w:sz w:val="17"/>
              </w:rPr>
              <w:t>Ambient</w:t>
            </w:r>
          </w:p>
        </w:tc>
        <w:tc>
          <w:tcPr>
            <w:tcW w:type="dxa" w:w="3760"/>
            <w:vAlign w:val="center"/>
          </w:tcPr>
          <w:p>
            <w:pPr>
              <w:spacing w:after="40"/>
            </w:pPr>
            <w:r>
              <w:rPr>
                <w:rFonts w:ascii="Calibri" w:hAnsi="Calibri"/>
                <w:color w:val="1E1E1E"/>
                <w:sz w:val="17"/>
              </w:rPr>
              <w:t>6799</w:t>
            </w:r>
          </w:p>
        </w:tc>
      </w:tr>
      <w:tr>
        <w:trPr>
          <w:cantSplit/>
        </w:trPr>
        <w:tc>
          <w:tcPr>
            <w:tcW w:type="dxa" w:w="1600"/>
            <w:vAlign w:val="center"/>
          </w:tcPr>
          <w:p>
            <w:pPr>
              <w:spacing w:after="40"/>
            </w:pPr>
            <w:r>
              <w:rPr>
                <w:rFonts w:ascii="Calibri" w:hAnsi="Calibri"/>
                <w:color w:val="1E1E1E"/>
                <w:sz w:val="17"/>
              </w:rPr>
              <w:t>32</w:t>
            </w:r>
          </w:p>
        </w:tc>
        <w:tc>
          <w:tcPr>
            <w:tcW w:type="dxa" w:w="4000"/>
            <w:vAlign w:val="center"/>
          </w:tcPr>
          <w:p>
            <w:pPr>
              <w:spacing w:after="40"/>
            </w:pPr>
            <w:r>
              <w:rPr>
                <w:rFonts w:ascii="Calibri" w:hAnsi="Calibri"/>
                <w:color w:val="1E1E1E"/>
                <w:sz w:val="17"/>
              </w:rPr>
              <w:t>Noise</w:t>
            </w:r>
          </w:p>
        </w:tc>
        <w:tc>
          <w:tcPr>
            <w:tcW w:type="dxa" w:w="3760"/>
            <w:vAlign w:val="center"/>
          </w:tcPr>
          <w:p>
            <w:pPr>
              <w:spacing w:after="40"/>
            </w:pPr>
            <w:r>
              <w:rPr>
                <w:rFonts w:ascii="Calibri" w:hAnsi="Calibri"/>
                <w:color w:val="1E1E1E"/>
                <w:sz w:val="17"/>
              </w:rPr>
              <w:t>6781</w:t>
            </w:r>
          </w:p>
        </w:tc>
      </w:tr>
      <w:tr>
        <w:trPr>
          <w:cantSplit/>
        </w:trPr>
        <w:tc>
          <w:tcPr>
            <w:tcW w:type="dxa" w:w="1600"/>
            <w:vAlign w:val="center"/>
          </w:tcPr>
          <w:p>
            <w:pPr>
              <w:spacing w:after="40"/>
            </w:pPr>
            <w:r>
              <w:rPr>
                <w:rFonts w:ascii="Calibri" w:hAnsi="Calibri"/>
                <w:color w:val="1E1E1E"/>
                <w:sz w:val="17"/>
              </w:rPr>
              <w:t>76</w:t>
            </w:r>
          </w:p>
        </w:tc>
        <w:tc>
          <w:tcPr>
            <w:tcW w:type="dxa" w:w="4000"/>
            <w:vAlign w:val="center"/>
          </w:tcPr>
          <w:p>
            <w:pPr>
              <w:spacing w:after="40"/>
            </w:pPr>
            <w:r>
              <w:rPr>
                <w:rFonts w:ascii="Calibri" w:hAnsi="Calibri"/>
                <w:color w:val="1E1E1E"/>
                <w:sz w:val="17"/>
              </w:rPr>
              <w:t>Experimental Pop</w:t>
            </w:r>
          </w:p>
        </w:tc>
        <w:tc>
          <w:tcPr>
            <w:tcW w:type="dxa" w:w="3760"/>
            <w:vAlign w:val="center"/>
          </w:tcPr>
          <w:p>
            <w:pPr>
              <w:spacing w:after="40"/>
            </w:pPr>
            <w:r>
              <w:rPr>
                <w:rFonts w:ascii="Calibri" w:hAnsi="Calibri"/>
                <w:color w:val="1E1E1E"/>
                <w:sz w:val="17"/>
              </w:rPr>
              <w:t>6632</w:t>
            </w:r>
          </w:p>
        </w:tc>
      </w:tr>
      <w:tr>
        <w:trPr>
          <w:cantSplit/>
        </w:trPr>
        <w:tc>
          <w:tcPr>
            <w:tcW w:type="dxa" w:w="1600"/>
            <w:vAlign w:val="center"/>
          </w:tcPr>
          <w:p>
            <w:pPr>
              <w:spacing w:after="40"/>
            </w:pPr>
            <w:r>
              <w:rPr>
                <w:rFonts w:ascii="Calibri" w:hAnsi="Calibri"/>
                <w:color w:val="1E1E1E"/>
                <w:sz w:val="17"/>
              </w:rPr>
              <w:t>21</w:t>
            </w:r>
          </w:p>
        </w:tc>
        <w:tc>
          <w:tcPr>
            <w:tcW w:type="dxa" w:w="4000"/>
            <w:vAlign w:val="center"/>
          </w:tcPr>
          <w:p>
            <w:pPr>
              <w:spacing w:after="40"/>
            </w:pPr>
            <w:r>
              <w:rPr>
                <w:rFonts w:ascii="Calibri" w:hAnsi="Calibri"/>
                <w:color w:val="1E1E1E"/>
                <w:sz w:val="17"/>
              </w:rPr>
              <w:t>Hip-Hop</w:t>
            </w:r>
          </w:p>
        </w:tc>
        <w:tc>
          <w:tcPr>
            <w:tcW w:type="dxa" w:w="3760"/>
            <w:vAlign w:val="center"/>
          </w:tcPr>
          <w:p>
            <w:pPr>
              <w:spacing w:after="40"/>
            </w:pPr>
            <w:r>
              <w:rPr>
                <w:rFonts w:ascii="Calibri" w:hAnsi="Calibri"/>
                <w:color w:val="1E1E1E"/>
                <w:sz w:val="17"/>
              </w:rPr>
              <w:t>6188</w:t>
            </w:r>
          </w:p>
        </w:tc>
      </w:tr>
      <w:tr>
        <w:trPr>
          <w:cantSplit/>
        </w:trPr>
        <w:tc>
          <w:tcPr>
            <w:tcW w:type="dxa" w:w="1600"/>
            <w:vAlign w:val="center"/>
          </w:tcPr>
          <w:p>
            <w:pPr>
              <w:spacing w:after="40"/>
            </w:pPr>
            <w:r>
              <w:rPr>
                <w:rFonts w:ascii="Calibri" w:hAnsi="Calibri"/>
                <w:color w:val="1E1E1E"/>
                <w:sz w:val="17"/>
              </w:rPr>
              <w:t>25</w:t>
            </w:r>
          </w:p>
        </w:tc>
        <w:tc>
          <w:tcPr>
            <w:tcW w:type="dxa" w:w="4000"/>
            <w:vAlign w:val="center"/>
          </w:tcPr>
          <w:p>
            <w:pPr>
              <w:spacing w:after="40"/>
            </w:pPr>
            <w:r>
              <w:rPr>
                <w:rFonts w:ascii="Calibri" w:hAnsi="Calibri"/>
                <w:color w:val="1E1E1E"/>
                <w:sz w:val="17"/>
              </w:rPr>
              <w:t>Punk</w:t>
            </w:r>
          </w:p>
        </w:tc>
        <w:tc>
          <w:tcPr>
            <w:tcW w:type="dxa" w:w="3760"/>
            <w:vAlign w:val="center"/>
          </w:tcPr>
          <w:p>
            <w:pPr>
              <w:spacing w:after="40"/>
            </w:pPr>
            <w:r>
              <w:rPr>
                <w:rFonts w:ascii="Calibri" w:hAnsi="Calibri"/>
                <w:color w:val="1E1E1E"/>
                <w:sz w:val="17"/>
              </w:rPr>
              <w:t>5942</w:t>
            </w:r>
          </w:p>
        </w:tc>
      </w:tr>
    </w:tbl>
    <w:p>
      <w:pPr>
        <w:spacing w:before="0" w:after="80"/>
      </w:pPr>
    </w:p>
    <w:p>
      <w:pPr>
        <w:pStyle w:val="Heading1"/>
      </w:pPr>
      <w:r>
        <w:t>6. CRISP-DM and End-to-End Methodology</w:t>
      </w:r>
    </w:p>
    <w:p>
      <w:r>
        <w:t>CRISP-DM gave the project a useful frame: understand the problem, understand the data, prepare the data, model, evaluate, and prepare outputs. The actual work was less tidy than the diagram suggests. For example, one test-selection stage returned no records and had to be corrected before the final evaluation could mean anything. The audio windowing approach also needed care because the model was trained on 15-second inputs. These corrections are part of the work, not side issues.</w:t>
      </w:r>
    </w:p>
    <w:p>
      <w:pPr>
        <w:pStyle w:val="Heading2"/>
      </w:pPr>
      <w:r>
        <w:t>6.2 Why CRISP-DM Was Used</w:t>
      </w:r>
    </w:p>
    <w:p>
      <w:pPr/>
      <w:r>
        <w:t>CRISP-DM was selected because it gave the project a structure that matched the way the work actually developed. The early stages required data understanding and preparation before modelling could be trusted. Later stages required evaluation and correction after the first results exposed weaknesses. A purely model-centred methodology would not have captured those repeated returns to the data.</w:t>
      </w:r>
    </w:p>
    <w:p>
      <w:pPr/>
      <w:r>
        <w:t>The method also helped with documentation. Each notebook phase could be linked to a broader project stage, such as data preparation, modelling, evaluation, or deployment-style inference. This made the notebook sequence easier to explain as a research process rather than a collection of isolated experiments.</w:t>
      </w:r>
    </w:p>
    <w:p>
      <w:pPr>
        <w:pStyle w:val="Heading2"/>
      </w:pPr>
      <w:r>
        <w:t>6.1 Implementation Notes from the Final Evaluation</w:t>
      </w:r>
    </w:p>
    <w:p>
      <w:pPr/>
      <w:r>
        <w:t>The final testing stage changed the way the results were interpreted. One earlier run selected zero test records, which meant the evaluation tables could not be trusted. That issue was corrected before Notebook 49 was used as formal evidence. This is why the final report refers to corrected split selection rather than treating the notebook as a routine batch run.</w:t>
      </w:r>
    </w:p>
    <w:p>
      <w:pPr/>
      <w:r>
        <w:t>A second issue came from audio length. The trained model was built around 15-second audio inputs. Full external songs are longer than that, so Notebook 50 used windowed inference and then combined the window-level evidence. This did not make the external results perfect, but it made the test closer to how the model would be used outside the FMA dataset.</w:t>
      </w:r>
    </w:p>
    <w:tbl>
      <w:tblPr>
        <w:tblStyle w:val="TableGrid"/>
        <w:tblW w:type="dxa" w:w="9360"/>
        <w:tblLook w:firstColumn="1" w:firstRow="1" w:lastColumn="0" w:lastRow="0" w:noHBand="0" w:noVBand="1" w:val="04A0"/>
        <w:tblInd w:type="dxa" w:w="120"/>
      </w:tblPr>
      <w:tblGrid>
        <w:gridCol w:w="2300"/>
        <w:gridCol w:w="7060"/>
      </w:tblGrid>
      <w:tr>
        <w:trPr>
          <w:cantSplit/>
          <w:tblHeader/>
        </w:trPr>
        <w:tc>
          <w:tcPr>
            <w:tcW w:type="dxa" w:w="2300"/>
            <w:shd w:fill="1F4D78"/>
            <w:vAlign w:val="center"/>
          </w:tcPr>
          <w:p>
            <w:pPr>
              <w:spacing w:after="40"/>
              <w:jc w:val="center"/>
            </w:pPr>
            <w:r>
              <w:rPr>
                <w:rFonts w:ascii="Calibri" w:hAnsi="Calibri"/>
                <w:b/>
                <w:color w:val="FFFFFF"/>
                <w:sz w:val="18"/>
              </w:rPr>
              <w:t>CRISP-DM stage</w:t>
            </w:r>
          </w:p>
        </w:tc>
        <w:tc>
          <w:tcPr>
            <w:tcW w:type="dxa" w:w="7060"/>
            <w:shd w:fill="1F4D78"/>
            <w:vAlign w:val="center"/>
          </w:tcPr>
          <w:p>
            <w:pPr>
              <w:spacing w:after="40"/>
              <w:jc w:val="center"/>
            </w:pPr>
            <w:r>
              <w:rPr>
                <w:rFonts w:ascii="Calibri" w:hAnsi="Calibri"/>
                <w:b/>
                <w:color w:val="FFFFFF"/>
                <w:sz w:val="18"/>
              </w:rPr>
              <w:t>Capstone implementation</w:t>
            </w:r>
          </w:p>
        </w:tc>
      </w:tr>
      <w:tr>
        <w:trPr>
          <w:cantSplit/>
        </w:trPr>
        <w:tc>
          <w:tcPr>
            <w:tcW w:type="dxa" w:w="2300"/>
            <w:vAlign w:val="center"/>
          </w:tcPr>
          <w:p>
            <w:pPr>
              <w:spacing w:after="40"/>
            </w:pPr>
            <w:r>
              <w:rPr>
                <w:rFonts w:ascii="Calibri" w:hAnsi="Calibri"/>
                <w:color w:val="1E1E1E"/>
                <w:sz w:val="17"/>
              </w:rPr>
              <w:t>Business understanding</w:t>
            </w:r>
          </w:p>
        </w:tc>
        <w:tc>
          <w:tcPr>
            <w:tcW w:type="dxa" w:w="7060"/>
            <w:vAlign w:val="center"/>
          </w:tcPr>
          <w:p>
            <w:pPr>
              <w:spacing w:after="40"/>
            </w:pPr>
            <w:r>
              <w:rPr>
                <w:rFonts w:ascii="Calibri" w:hAnsi="Calibri"/>
                <w:color w:val="1E1E1E"/>
                <w:sz w:val="17"/>
              </w:rPr>
              <w:t>Defined automated genre classification as a scalable music organisation and retrieval problem.</w:t>
            </w:r>
          </w:p>
        </w:tc>
      </w:tr>
      <w:tr>
        <w:trPr>
          <w:cantSplit/>
        </w:trPr>
        <w:tc>
          <w:tcPr>
            <w:tcW w:type="dxa" w:w="2300"/>
            <w:vAlign w:val="center"/>
          </w:tcPr>
          <w:p>
            <w:pPr>
              <w:spacing w:after="40"/>
            </w:pPr>
            <w:r>
              <w:rPr>
                <w:rFonts w:ascii="Calibri" w:hAnsi="Calibri"/>
                <w:color w:val="1E1E1E"/>
                <w:sz w:val="17"/>
              </w:rPr>
              <w:t>Data understanding</w:t>
            </w:r>
          </w:p>
        </w:tc>
        <w:tc>
          <w:tcPr>
            <w:tcW w:type="dxa" w:w="7060"/>
            <w:vAlign w:val="center"/>
          </w:tcPr>
          <w:p>
            <w:pPr>
              <w:spacing w:after="40"/>
            </w:pPr>
            <w:r>
              <w:rPr>
                <w:rFonts w:ascii="Calibri" w:hAnsi="Calibri"/>
                <w:color w:val="1E1E1E"/>
                <w:sz w:val="17"/>
              </w:rPr>
              <w:t>Explored FMA metadata, genre hierarchy, feature tables, audio availability, class imbalance, and split integrity.</w:t>
            </w:r>
          </w:p>
        </w:tc>
      </w:tr>
      <w:tr>
        <w:trPr>
          <w:cantSplit/>
        </w:trPr>
        <w:tc>
          <w:tcPr>
            <w:tcW w:type="dxa" w:w="2300"/>
            <w:vAlign w:val="center"/>
          </w:tcPr>
          <w:p>
            <w:pPr>
              <w:spacing w:after="40"/>
            </w:pPr>
            <w:r>
              <w:rPr>
                <w:rFonts w:ascii="Calibri" w:hAnsi="Calibri"/>
                <w:color w:val="1E1E1E"/>
                <w:sz w:val="17"/>
              </w:rPr>
              <w:t>Data preparation</w:t>
            </w:r>
          </w:p>
        </w:tc>
        <w:tc>
          <w:tcPr>
            <w:tcW w:type="dxa" w:w="7060"/>
            <w:vAlign w:val="center"/>
          </w:tcPr>
          <w:p>
            <w:pPr>
              <w:spacing w:after="40"/>
            </w:pPr>
            <w:r>
              <w:rPr>
                <w:rFonts w:ascii="Calibri" w:hAnsi="Calibri"/>
                <w:color w:val="1E1E1E"/>
                <w:sz w:val="17"/>
              </w:rPr>
              <w:t>Built target matrices, candidate labels, split-aligned datasets, audio windows, Mel-spectrogram inputs, and manifest files.</w:t>
            </w:r>
          </w:p>
        </w:tc>
      </w:tr>
      <w:tr>
        <w:trPr>
          <w:cantSplit/>
        </w:trPr>
        <w:tc>
          <w:tcPr>
            <w:tcW w:type="dxa" w:w="2300"/>
            <w:vAlign w:val="center"/>
          </w:tcPr>
          <w:p>
            <w:pPr>
              <w:spacing w:after="40"/>
            </w:pPr>
            <w:r>
              <w:rPr>
                <w:rFonts w:ascii="Calibri" w:hAnsi="Calibri"/>
                <w:color w:val="1E1E1E"/>
                <w:sz w:val="17"/>
              </w:rPr>
              <w:t>Modelling</w:t>
            </w:r>
          </w:p>
        </w:tc>
        <w:tc>
          <w:tcPr>
            <w:tcW w:type="dxa" w:w="7060"/>
            <w:vAlign w:val="center"/>
          </w:tcPr>
          <w:p>
            <w:pPr>
              <w:spacing w:after="40"/>
            </w:pPr>
            <w:r>
              <w:rPr>
                <w:rFonts w:ascii="Calibri" w:hAnsi="Calibri"/>
                <w:color w:val="1E1E1E"/>
                <w:sz w:val="17"/>
              </w:rPr>
              <w:t>Trained and compared structured baselines, audio CNNs, hybrid fusion, and rare-tail fallback strategies.</w:t>
            </w:r>
          </w:p>
        </w:tc>
      </w:tr>
      <w:tr>
        <w:trPr>
          <w:cantSplit/>
        </w:trPr>
        <w:tc>
          <w:tcPr>
            <w:tcW w:type="dxa" w:w="2300"/>
            <w:vAlign w:val="center"/>
          </w:tcPr>
          <w:p>
            <w:pPr>
              <w:spacing w:after="40"/>
            </w:pPr>
            <w:r>
              <w:rPr>
                <w:rFonts w:ascii="Calibri" w:hAnsi="Calibri"/>
                <w:color w:val="1E1E1E"/>
                <w:sz w:val="17"/>
              </w:rPr>
              <w:t>Evaluation</w:t>
            </w:r>
          </w:p>
        </w:tc>
        <w:tc>
          <w:tcPr>
            <w:tcW w:type="dxa" w:w="7060"/>
            <w:vAlign w:val="center"/>
          </w:tcPr>
          <w:p>
            <w:pPr>
              <w:spacing w:after="40"/>
            </w:pPr>
            <w:r>
              <w:rPr>
                <w:rFonts w:ascii="Calibri" w:hAnsi="Calibri"/>
                <w:color w:val="1E1E1E"/>
                <w:sz w:val="17"/>
              </w:rPr>
              <w:t>Used F1 metrics, Top-k hit rates, per-label diagnostics, low-confidence analysis, and external-song testing.</w:t>
            </w:r>
          </w:p>
        </w:tc>
      </w:tr>
      <w:tr>
        <w:trPr>
          <w:cantSplit/>
        </w:trPr>
        <w:tc>
          <w:tcPr>
            <w:tcW w:type="dxa" w:w="2300"/>
            <w:vAlign w:val="center"/>
          </w:tcPr>
          <w:p>
            <w:pPr>
              <w:spacing w:after="40"/>
            </w:pPr>
            <w:r>
              <w:rPr>
                <w:rFonts w:ascii="Calibri" w:hAnsi="Calibri"/>
                <w:color w:val="1E1E1E"/>
                <w:sz w:val="17"/>
              </w:rPr>
              <w:t>Deployment-style output</w:t>
            </w:r>
          </w:p>
        </w:tc>
        <w:tc>
          <w:tcPr>
            <w:tcW w:type="dxa" w:w="7060"/>
            <w:vAlign w:val="center"/>
          </w:tcPr>
          <w:p>
            <w:pPr>
              <w:spacing w:after="40"/>
            </w:pPr>
            <w:r>
              <w:rPr>
                <w:rFonts w:ascii="Calibri" w:hAnsi="Calibri"/>
                <w:color w:val="1E1E1E"/>
                <w:sz w:val="17"/>
              </w:rPr>
              <w:t>Built final notebooks for single-file/batch inference, external songs, confidence scores, and reproducible output files.</w:t>
            </w:r>
          </w:p>
        </w:tc>
      </w:tr>
    </w:tbl>
    <w:p>
      <w:pPr>
        <w:spacing w:before="0" w:after="80"/>
      </w:pPr>
    </w:p>
    <w:p>
      <w:pPr>
        <w:pStyle w:val="Heading1"/>
      </w:pPr>
      <w:r>
        <w:t>7. Notebook-by-Notebook Development Narrative</w:t>
      </w:r>
    </w:p>
    <w:p>
      <w:r>
        <w:t>The notebooks are the main software artefacts. They show how the project changed over time. Some notebooks train models. Others check data, build labels, compare settings, or fix problems found later. Taken together, they give the implementation record behind the final paper.</w:t>
      </w:r>
    </w:p>
    <w:p>
      <w:pPr>
        <w:jc w:val="center"/>
      </w:pPr>
      <w:r/>
    </w:p>
    <w:p>
      <w:pPr>
        <w:spacing w:after="160"/>
        <w:jc w:val="center"/>
      </w:pPr>
      <w:r>
        <w:rPr>
          <w:rFonts w:ascii="Calibri" w:hAnsi="Calibri"/>
          <w:i/>
          <w:color w:val="5A5A5A"/>
          <w:sz w:val="18"/>
        </w:rPr>
        <w:t>Figure 4. Corrected notebook progression for the full project.</w:t>
      </w:r>
    </w:p>
    <w:p>
      <w:pPr/>
      <w:r>
        <w:t>Figure 4 shows that the final work was built through stages rather than one large experiment. This matters for interpretation because the later notebooks depend on decisions made in the earlier preparation and benchmarking phases.</w:t>
      </w:r>
    </w:p>
    <w:tbl>
      <w:tblPr>
        <w:tblStyle w:val="TableGrid"/>
        <w:tblW w:type="dxa" w:w="9360"/>
        <w:tblLook w:firstColumn="1" w:firstRow="1" w:lastColumn="0" w:lastRow="0" w:noHBand="0" w:noVBand="1" w:val="04A0"/>
        <w:tblInd w:type="dxa" w:w="120"/>
      </w:tblPr>
      <w:tblGrid>
        <w:gridCol w:w="1700"/>
        <w:gridCol w:w="2800"/>
        <w:gridCol w:w="4860"/>
      </w:tblGrid>
      <w:tr>
        <w:trPr>
          <w:cantSplit/>
          <w:tblHeader/>
        </w:trPr>
        <w:tc>
          <w:tcPr>
            <w:tcW w:type="dxa" w:w="1700"/>
            <w:shd w:fill="1F4D78"/>
            <w:vAlign w:val="center"/>
          </w:tcPr>
          <w:p>
            <w:pPr>
              <w:spacing w:after="40"/>
              <w:jc w:val="center"/>
            </w:pPr>
            <w:r>
              <w:rPr>
                <w:rFonts w:ascii="Calibri" w:hAnsi="Calibri"/>
                <w:b/>
                <w:color w:val="FFFFFF"/>
                <w:sz w:val="18"/>
              </w:rPr>
              <w:t>Notebook range</w:t>
            </w:r>
          </w:p>
        </w:tc>
        <w:tc>
          <w:tcPr>
            <w:tcW w:type="dxa" w:w="2800"/>
            <w:shd w:fill="1F4D78"/>
            <w:vAlign w:val="center"/>
          </w:tcPr>
          <w:p>
            <w:pPr>
              <w:spacing w:after="40"/>
              <w:jc w:val="center"/>
            </w:pPr>
            <w:r>
              <w:rPr>
                <w:rFonts w:ascii="Calibri" w:hAnsi="Calibri"/>
                <w:b/>
                <w:color w:val="FFFFFF"/>
                <w:sz w:val="18"/>
              </w:rPr>
              <w:t>Phase</w:t>
            </w:r>
          </w:p>
        </w:tc>
        <w:tc>
          <w:tcPr>
            <w:tcW w:type="dxa" w:w="4860"/>
            <w:shd w:fill="1F4D78"/>
            <w:vAlign w:val="center"/>
          </w:tcPr>
          <w:p>
            <w:pPr>
              <w:spacing w:after="40"/>
              <w:jc w:val="center"/>
            </w:pPr>
            <w:r>
              <w:rPr>
                <w:rFonts w:ascii="Calibri" w:hAnsi="Calibri"/>
                <w:b/>
                <w:color w:val="FFFFFF"/>
                <w:sz w:val="18"/>
              </w:rPr>
              <w:t>Role in final project</w:t>
            </w:r>
          </w:p>
        </w:tc>
      </w:tr>
      <w:tr>
        <w:trPr>
          <w:cantSplit/>
        </w:trPr>
        <w:tc>
          <w:tcPr>
            <w:tcW w:type="dxa" w:w="1700"/>
            <w:vAlign w:val="center"/>
          </w:tcPr>
          <w:p>
            <w:pPr>
              <w:spacing w:after="40"/>
            </w:pPr>
            <w:r>
              <w:rPr>
                <w:rFonts w:ascii="Calibri" w:hAnsi="Calibri"/>
                <w:color w:val="1E1E1E"/>
                <w:sz w:val="17"/>
              </w:rPr>
              <w:t>01-11</w:t>
            </w:r>
          </w:p>
        </w:tc>
        <w:tc>
          <w:tcPr>
            <w:tcW w:type="dxa" w:w="2800"/>
            <w:vAlign w:val="center"/>
          </w:tcPr>
          <w:p>
            <w:pPr>
              <w:spacing w:after="40"/>
            </w:pPr>
            <w:r>
              <w:rPr>
                <w:rFonts w:ascii="Calibri" w:hAnsi="Calibri"/>
                <w:color w:val="1E1E1E"/>
                <w:sz w:val="17"/>
              </w:rPr>
              <w:t>Foundations and proof of concept</w:t>
            </w:r>
          </w:p>
        </w:tc>
        <w:tc>
          <w:tcPr>
            <w:tcW w:type="dxa" w:w="4860"/>
            <w:vAlign w:val="center"/>
          </w:tcPr>
          <w:p>
            <w:pPr>
              <w:spacing w:after="40"/>
            </w:pPr>
            <w:r>
              <w:rPr>
                <w:rFonts w:ascii="Calibri" w:hAnsi="Calibri"/>
                <w:color w:val="1E1E1E"/>
                <w:sz w:val="17"/>
              </w:rPr>
              <w:t>Metadata understanding, structured feature modelling, early audio CNNs, MongoDB pipeline, and first hybrid prediction pipeline.</w:t>
            </w:r>
          </w:p>
        </w:tc>
      </w:tr>
      <w:tr>
        <w:trPr>
          <w:cantSplit/>
        </w:trPr>
        <w:tc>
          <w:tcPr>
            <w:tcW w:type="dxa" w:w="1700"/>
            <w:vAlign w:val="center"/>
          </w:tcPr>
          <w:p>
            <w:pPr>
              <w:spacing w:after="40"/>
            </w:pPr>
            <w:r>
              <w:rPr>
                <w:rFonts w:ascii="Calibri" w:hAnsi="Calibri"/>
                <w:color w:val="1E1E1E"/>
                <w:sz w:val="17"/>
              </w:rPr>
              <w:t>12-22</w:t>
            </w:r>
          </w:p>
        </w:tc>
        <w:tc>
          <w:tcPr>
            <w:tcW w:type="dxa" w:w="2800"/>
            <w:vAlign w:val="center"/>
          </w:tcPr>
          <w:p>
            <w:pPr>
              <w:spacing w:after="40"/>
            </w:pPr>
            <w:r>
              <w:rPr>
                <w:rFonts w:ascii="Calibri" w:hAnsi="Calibri"/>
                <w:color w:val="1E1E1E"/>
                <w:sz w:val="17"/>
              </w:rPr>
              <w:t>Controlled genre expansion</w:t>
            </w:r>
          </w:p>
        </w:tc>
        <w:tc>
          <w:tcPr>
            <w:tcW w:type="dxa" w:w="4860"/>
            <w:vAlign w:val="center"/>
          </w:tcPr>
          <w:p>
            <w:pPr>
              <w:spacing w:after="40"/>
            </w:pPr>
            <w:r>
              <w:rPr>
                <w:rFonts w:ascii="Calibri" w:hAnsi="Calibri"/>
                <w:color w:val="1E1E1E"/>
                <w:sz w:val="17"/>
              </w:rPr>
              <w:t>Expanded the initial proof of concept and compared structured, audio, and hybrid methods in controlled genre settings.</w:t>
            </w:r>
          </w:p>
        </w:tc>
      </w:tr>
      <w:tr>
        <w:trPr>
          <w:cantSplit/>
        </w:trPr>
        <w:tc>
          <w:tcPr>
            <w:tcW w:type="dxa" w:w="1700"/>
            <w:vAlign w:val="center"/>
          </w:tcPr>
          <w:p>
            <w:pPr>
              <w:spacing w:after="40"/>
            </w:pPr>
            <w:r>
              <w:rPr>
                <w:rFonts w:ascii="Calibri" w:hAnsi="Calibri"/>
                <w:color w:val="1E1E1E"/>
                <w:sz w:val="17"/>
              </w:rPr>
              <w:t>23-38</w:t>
            </w:r>
          </w:p>
        </w:tc>
        <w:tc>
          <w:tcPr>
            <w:tcW w:type="dxa" w:w="2800"/>
            <w:vAlign w:val="center"/>
          </w:tcPr>
          <w:p>
            <w:pPr>
              <w:spacing w:after="40"/>
            </w:pPr>
            <w:r>
              <w:rPr>
                <w:rFonts w:ascii="Calibri" w:hAnsi="Calibri"/>
                <w:color w:val="1E1E1E"/>
                <w:sz w:val="17"/>
              </w:rPr>
              <w:t>Candidate-150 multi-label system</w:t>
            </w:r>
          </w:p>
        </w:tc>
        <w:tc>
          <w:tcPr>
            <w:tcW w:type="dxa" w:w="4860"/>
            <w:vAlign w:val="center"/>
          </w:tcPr>
          <w:p>
            <w:pPr>
              <w:spacing w:after="40"/>
            </w:pPr>
            <w:r>
              <w:rPr>
                <w:rFonts w:ascii="Calibri" w:hAnsi="Calibri"/>
                <w:color w:val="1E1E1E"/>
                <w:sz w:val="17"/>
              </w:rPr>
              <w:t>Created the full genre inventory, multi-label target matrix, Candidate-150 model families, threshold tuning, and final candidate report tables.</w:t>
            </w:r>
          </w:p>
        </w:tc>
      </w:tr>
      <w:tr>
        <w:trPr>
          <w:cantSplit/>
        </w:trPr>
        <w:tc>
          <w:tcPr>
            <w:tcW w:type="dxa" w:w="1700"/>
            <w:vAlign w:val="center"/>
          </w:tcPr>
          <w:p>
            <w:pPr>
              <w:spacing w:after="40"/>
            </w:pPr>
            <w:r>
              <w:rPr>
                <w:rFonts w:ascii="Calibri" w:hAnsi="Calibri"/>
                <w:color w:val="1E1E1E"/>
                <w:sz w:val="17"/>
              </w:rPr>
              <w:t>39-47</w:t>
            </w:r>
          </w:p>
        </w:tc>
        <w:tc>
          <w:tcPr>
            <w:tcW w:type="dxa" w:w="2800"/>
            <w:vAlign w:val="center"/>
          </w:tcPr>
          <w:p>
            <w:pPr>
              <w:spacing w:after="40"/>
            </w:pPr>
            <w:r>
              <w:rPr>
                <w:rFonts w:ascii="Calibri" w:hAnsi="Calibri"/>
                <w:color w:val="1E1E1E"/>
                <w:sz w:val="17"/>
              </w:rPr>
              <w:t>Full 163-genre and rare-tail strategy</w:t>
            </w:r>
          </w:p>
        </w:tc>
        <w:tc>
          <w:tcPr>
            <w:tcW w:type="dxa" w:w="4860"/>
            <w:vAlign w:val="center"/>
          </w:tcPr>
          <w:p>
            <w:pPr>
              <w:spacing w:after="40"/>
            </w:pPr>
            <w:r>
              <w:rPr>
                <w:rFonts w:ascii="Calibri" w:hAnsi="Calibri"/>
                <w:color w:val="1E1E1E"/>
                <w:sz w:val="17"/>
              </w:rPr>
              <w:t>Prepared rare-tail handling, fallback routing, single-file inference, batch inference, and full-taxonomy design.</w:t>
            </w:r>
          </w:p>
        </w:tc>
      </w:tr>
      <w:tr>
        <w:trPr>
          <w:cantSplit/>
        </w:trPr>
        <w:tc>
          <w:tcPr>
            <w:tcW w:type="dxa" w:w="1700"/>
            <w:vAlign w:val="center"/>
          </w:tcPr>
          <w:p>
            <w:pPr>
              <w:spacing w:after="40"/>
            </w:pPr>
            <w:r>
              <w:rPr>
                <w:rFonts w:ascii="Calibri" w:hAnsi="Calibri"/>
                <w:color w:val="1E1E1E"/>
                <w:sz w:val="17"/>
              </w:rPr>
              <w:t>48-50</w:t>
            </w:r>
          </w:p>
        </w:tc>
        <w:tc>
          <w:tcPr>
            <w:tcW w:type="dxa" w:w="2800"/>
            <w:vAlign w:val="center"/>
          </w:tcPr>
          <w:p>
            <w:pPr>
              <w:spacing w:after="40"/>
            </w:pPr>
            <w:r>
              <w:rPr>
                <w:rFonts w:ascii="Calibri" w:hAnsi="Calibri"/>
                <w:color w:val="1E1E1E"/>
                <w:sz w:val="17"/>
              </w:rPr>
              <w:t>Final inference and evaluation</w:t>
            </w:r>
          </w:p>
        </w:tc>
        <w:tc>
          <w:tcPr>
            <w:tcW w:type="dxa" w:w="4860"/>
            <w:vAlign w:val="center"/>
          </w:tcPr>
          <w:p>
            <w:pPr>
              <w:spacing w:after="40"/>
            </w:pPr>
            <w:r>
              <w:rPr>
                <w:rFonts w:ascii="Calibri" w:hAnsi="Calibri"/>
                <w:color w:val="1E1E1E"/>
                <w:sz w:val="17"/>
              </w:rPr>
              <w:t>Completed confidence-scored audio inference, formal FMA processed test evaluation, and external song batch evaluation.</w:t>
            </w:r>
          </w:p>
        </w:tc>
      </w:tr>
    </w:tbl>
    <w:p>
      <w:pPr>
        <w:spacing w:before="0" w:after="80"/>
      </w:pPr>
    </w:p>
    <w:p>
      <w:pPr>
        <w:pStyle w:val="Heading1"/>
      </w:pPr>
      <w:r>
        <w:t>8. Modelling Approach, Three Branches, and Five Techniques</w:t>
      </w:r>
    </w:p>
    <w:p>
      <w:r>
        <w:t>The modelling work can be read in two ways. At the system level, there are three branches: structured models, audio CNN models, and hybrid fusion. At the method level, the notebooks compare five main techniques. This distinction matters because the final approach was not chosen from one experiment. It came from a sequence of comparisons, corrections, and follow-up tests.</w:t>
      </w:r>
    </w:p>
    <w:tbl>
      <w:tblPr>
        <w:tblStyle w:val="TableGrid"/>
        <w:tblW w:type="dxa" w:w="9360"/>
        <w:tblLook w:firstColumn="1" w:firstRow="1" w:lastColumn="0" w:lastRow="0" w:noHBand="0" w:noVBand="1" w:val="04A0"/>
        <w:tblInd w:type="dxa" w:w="120"/>
      </w:tblPr>
      <w:tblGrid>
        <w:gridCol w:w="1900"/>
        <w:gridCol w:w="2700"/>
        <w:gridCol w:w="4760"/>
      </w:tblGrid>
      <w:tr>
        <w:trPr>
          <w:cantSplit/>
          <w:tblHeader/>
        </w:trPr>
        <w:tc>
          <w:tcPr>
            <w:tcW w:type="dxa" w:w="1900"/>
            <w:shd w:fill="1F4D78"/>
            <w:vAlign w:val="center"/>
          </w:tcPr>
          <w:p>
            <w:pPr>
              <w:spacing w:after="40"/>
              <w:jc w:val="center"/>
            </w:pPr>
            <w:r>
              <w:rPr>
                <w:rFonts w:ascii="Calibri" w:hAnsi="Calibri"/>
                <w:b/>
                <w:color w:val="FFFFFF"/>
                <w:sz w:val="18"/>
              </w:rPr>
              <w:t>Model branch</w:t>
            </w:r>
          </w:p>
        </w:tc>
        <w:tc>
          <w:tcPr>
            <w:tcW w:type="dxa" w:w="2700"/>
            <w:shd w:fill="1F4D78"/>
            <w:vAlign w:val="center"/>
          </w:tcPr>
          <w:p>
            <w:pPr>
              <w:spacing w:after="40"/>
              <w:jc w:val="center"/>
            </w:pPr>
            <w:r>
              <w:rPr>
                <w:rFonts w:ascii="Calibri" w:hAnsi="Calibri"/>
                <w:b/>
                <w:color w:val="FFFFFF"/>
                <w:sz w:val="18"/>
              </w:rPr>
              <w:t>Main notebooks</w:t>
            </w:r>
          </w:p>
        </w:tc>
        <w:tc>
          <w:tcPr>
            <w:tcW w:type="dxa" w:w="4760"/>
            <w:shd w:fill="1F4D78"/>
            <w:vAlign w:val="center"/>
          </w:tcPr>
          <w:p>
            <w:pPr>
              <w:spacing w:after="40"/>
              <w:jc w:val="center"/>
            </w:pPr>
            <w:r>
              <w:rPr>
                <w:rFonts w:ascii="Calibri" w:hAnsi="Calibri"/>
                <w:b/>
                <w:color w:val="FFFFFF"/>
                <w:sz w:val="18"/>
              </w:rPr>
              <w:t>Role in the project</w:t>
            </w:r>
          </w:p>
        </w:tc>
      </w:tr>
      <w:tr>
        <w:trPr>
          <w:cantSplit/>
        </w:trPr>
        <w:tc>
          <w:tcPr>
            <w:tcW w:type="dxa" w:w="1900"/>
            <w:vAlign w:val="center"/>
          </w:tcPr>
          <w:p>
            <w:pPr>
              <w:spacing w:after="40"/>
            </w:pPr>
            <w:r>
              <w:rPr>
                <w:rFonts w:ascii="Calibri" w:hAnsi="Calibri"/>
                <w:color w:val="1E1E1E"/>
                <w:sz w:val="17"/>
              </w:rPr>
              <w:t>Structured branch</w:t>
            </w:r>
          </w:p>
        </w:tc>
        <w:tc>
          <w:tcPr>
            <w:tcW w:type="dxa" w:w="2700"/>
            <w:vAlign w:val="center"/>
          </w:tcPr>
          <w:p>
            <w:pPr>
              <w:spacing w:after="40"/>
            </w:pPr>
            <w:r>
              <w:rPr>
                <w:rFonts w:ascii="Calibri" w:hAnsi="Calibri"/>
                <w:color w:val="1E1E1E"/>
                <w:sz w:val="17"/>
              </w:rPr>
              <w:t>02, 05, 06, 09, 14, 18, 26-29, 31, 35</w:t>
            </w:r>
          </w:p>
        </w:tc>
        <w:tc>
          <w:tcPr>
            <w:tcW w:type="dxa" w:w="4760"/>
            <w:vAlign w:val="center"/>
          </w:tcPr>
          <w:p>
            <w:pPr>
              <w:spacing w:after="40"/>
            </w:pPr>
            <w:r>
              <w:rPr>
                <w:rFonts w:ascii="Calibri" w:hAnsi="Calibri"/>
                <w:color w:val="1E1E1E"/>
                <w:sz w:val="17"/>
              </w:rPr>
              <w:t>Uses metadata and engineered feature tables as the main tabular baseline. It provides interpretability, comparison value, and a small supporting signal for fusion.</w:t>
            </w:r>
          </w:p>
        </w:tc>
      </w:tr>
      <w:tr>
        <w:trPr>
          <w:cantSplit/>
        </w:trPr>
        <w:tc>
          <w:tcPr>
            <w:tcW w:type="dxa" w:w="1900"/>
            <w:vAlign w:val="center"/>
          </w:tcPr>
          <w:p>
            <w:pPr>
              <w:spacing w:after="40"/>
            </w:pPr>
            <w:r>
              <w:rPr>
                <w:rFonts w:ascii="Calibri" w:hAnsi="Calibri"/>
                <w:color w:val="1E1E1E"/>
                <w:sz w:val="17"/>
              </w:rPr>
              <w:t>Audio CNN branch</w:t>
            </w:r>
          </w:p>
        </w:tc>
        <w:tc>
          <w:tcPr>
            <w:tcW w:type="dxa" w:w="2700"/>
            <w:vAlign w:val="center"/>
          </w:tcPr>
          <w:p>
            <w:pPr>
              <w:spacing w:after="40"/>
            </w:pPr>
            <w:r>
              <w:rPr>
                <w:rFonts w:ascii="Calibri" w:hAnsi="Calibri"/>
                <w:color w:val="1E1E1E"/>
                <w:sz w:val="17"/>
              </w:rPr>
              <w:t>07, 08, 13, 17, 30, 34, 47-50</w:t>
            </w:r>
          </w:p>
        </w:tc>
        <w:tc>
          <w:tcPr>
            <w:tcW w:type="dxa" w:w="4760"/>
            <w:vAlign w:val="center"/>
          </w:tcPr>
          <w:p>
            <w:pPr>
              <w:spacing w:after="40"/>
            </w:pPr>
            <w:r>
              <w:rPr>
                <w:rFonts w:ascii="Calibri" w:hAnsi="Calibri"/>
                <w:color w:val="1E1E1E"/>
                <w:sz w:val="17"/>
              </w:rPr>
              <w:t>Uses raw audio converted to Mel-spectrogram windows. This became the strongest individual source of predictive signal.</w:t>
            </w:r>
          </w:p>
        </w:tc>
      </w:tr>
      <w:tr>
        <w:trPr>
          <w:cantSplit/>
        </w:trPr>
        <w:tc>
          <w:tcPr>
            <w:tcW w:type="dxa" w:w="1900"/>
            <w:vAlign w:val="center"/>
          </w:tcPr>
          <w:p>
            <w:pPr>
              <w:spacing w:after="40"/>
            </w:pPr>
            <w:r>
              <w:rPr>
                <w:rFonts w:ascii="Calibri" w:hAnsi="Calibri"/>
                <w:color w:val="1E1E1E"/>
                <w:sz w:val="17"/>
              </w:rPr>
              <w:t>Hybrid fusion branch</w:t>
            </w:r>
          </w:p>
        </w:tc>
        <w:tc>
          <w:tcPr>
            <w:tcW w:type="dxa" w:w="2700"/>
            <w:vAlign w:val="center"/>
          </w:tcPr>
          <w:p>
            <w:pPr>
              <w:spacing w:after="40"/>
            </w:pPr>
            <w:r>
              <w:rPr>
                <w:rFonts w:ascii="Calibri" w:hAnsi="Calibri"/>
                <w:color w:val="1E1E1E"/>
                <w:sz w:val="17"/>
              </w:rPr>
              <w:t>10, 15, 19, 32-38, 39-50</w:t>
            </w:r>
          </w:p>
        </w:tc>
        <w:tc>
          <w:tcPr>
            <w:tcW w:type="dxa" w:w="4760"/>
            <w:vAlign w:val="center"/>
          </w:tcPr>
          <w:p>
            <w:pPr>
              <w:spacing w:after="40"/>
            </w:pPr>
            <w:r>
              <w:rPr>
                <w:rFonts w:ascii="Calibri" w:hAnsi="Calibri"/>
                <w:color w:val="1E1E1E"/>
                <w:sz w:val="17"/>
              </w:rPr>
              <w:t>Combines structured and audio probabilities with weighted ensemble logic. The best benchmark used 0.1 structured weight and 0.9 audio weight.</w:t>
            </w:r>
          </w:p>
        </w:tc>
      </w:tr>
    </w:tbl>
    <w:p>
      <w:pPr>
        <w:spacing w:before="0" w:after="80"/>
      </w:pPr>
    </w:p>
    <w:p>
      <w:pPr>
        <w:pStyle w:val="Heading2"/>
      </w:pPr>
      <w:r>
        <w:t>8.1 Five Techniques Incorporated</w:t>
      </w:r>
    </w:p>
    <w:tbl>
      <w:tblPr>
        <w:tblStyle w:val="TableGrid"/>
        <w:tblW w:type="dxa" w:w="9360"/>
        <w:tblLook w:firstColumn="1" w:firstRow="1" w:lastColumn="0" w:lastRow="0" w:noHBand="0" w:noVBand="1" w:val="04A0"/>
        <w:tblInd w:type="dxa" w:w="120"/>
      </w:tblPr>
      <w:tblGrid>
        <w:gridCol w:w="2100"/>
        <w:gridCol w:w="1200"/>
        <w:gridCol w:w="2550"/>
        <w:gridCol w:w="3510"/>
      </w:tblGrid>
      <w:tr>
        <w:trPr>
          <w:cantSplit/>
          <w:tblHeader/>
        </w:trPr>
        <w:tc>
          <w:tcPr>
            <w:tcW w:type="dxa" w:w="2100"/>
            <w:shd w:fill="1F4D78"/>
            <w:vAlign w:val="center"/>
          </w:tcPr>
          <w:p>
            <w:pPr>
              <w:spacing w:after="40"/>
              <w:jc w:val="center"/>
            </w:pPr>
            <w:r>
              <w:rPr>
                <w:rFonts w:ascii="Calibri" w:hAnsi="Calibri"/>
                <w:b/>
                <w:color w:val="FFFFFF"/>
                <w:sz w:val="18"/>
              </w:rPr>
              <w:t>Technique</w:t>
            </w:r>
          </w:p>
        </w:tc>
        <w:tc>
          <w:tcPr>
            <w:tcW w:type="dxa" w:w="1200"/>
            <w:shd w:fill="1F4D78"/>
            <w:vAlign w:val="center"/>
          </w:tcPr>
          <w:p>
            <w:pPr>
              <w:spacing w:after="40"/>
              <w:jc w:val="center"/>
            </w:pPr>
            <w:r>
              <w:rPr>
                <w:rFonts w:ascii="Calibri" w:hAnsi="Calibri"/>
                <w:b/>
                <w:color w:val="FFFFFF"/>
                <w:sz w:val="18"/>
              </w:rPr>
              <w:t>Branch</w:t>
            </w:r>
          </w:p>
        </w:tc>
        <w:tc>
          <w:tcPr>
            <w:tcW w:type="dxa" w:w="2550"/>
            <w:shd w:fill="1F4D78"/>
            <w:vAlign w:val="center"/>
          </w:tcPr>
          <w:p>
            <w:pPr>
              <w:spacing w:after="40"/>
              <w:jc w:val="center"/>
            </w:pPr>
            <w:r>
              <w:rPr>
                <w:rFonts w:ascii="Calibri" w:hAnsi="Calibri"/>
                <w:b/>
                <w:color w:val="FFFFFF"/>
                <w:sz w:val="18"/>
              </w:rPr>
              <w:t>Where it appears</w:t>
            </w:r>
          </w:p>
        </w:tc>
        <w:tc>
          <w:tcPr>
            <w:tcW w:type="dxa" w:w="3510"/>
            <w:shd w:fill="1F4D78"/>
            <w:vAlign w:val="center"/>
          </w:tcPr>
          <w:p>
            <w:pPr>
              <w:spacing w:after="40"/>
              <w:jc w:val="center"/>
            </w:pPr>
            <w:r>
              <w:rPr>
                <w:rFonts w:ascii="Calibri" w:hAnsi="Calibri"/>
                <w:b/>
                <w:color w:val="FFFFFF"/>
                <w:sz w:val="18"/>
              </w:rPr>
              <w:t>Purpose and interpretation</w:t>
            </w:r>
          </w:p>
        </w:tc>
      </w:tr>
      <w:tr>
        <w:trPr>
          <w:cantSplit/>
        </w:trPr>
        <w:tc>
          <w:tcPr>
            <w:tcW w:type="dxa" w:w="2100"/>
            <w:vAlign w:val="center"/>
          </w:tcPr>
          <w:p>
            <w:pPr>
              <w:spacing w:after="40"/>
            </w:pPr>
            <w:r>
              <w:rPr>
                <w:rFonts w:ascii="Calibri" w:hAnsi="Calibri"/>
                <w:color w:val="1E1E1E"/>
                <w:sz w:val="17"/>
              </w:rPr>
              <w:t>Logistic regression-style baseline</w:t>
            </w:r>
          </w:p>
        </w:tc>
        <w:tc>
          <w:tcPr>
            <w:tcW w:type="dxa" w:w="1200"/>
            <w:vAlign w:val="center"/>
          </w:tcPr>
          <w:p>
            <w:pPr>
              <w:spacing w:after="40"/>
            </w:pPr>
            <w:r>
              <w:rPr>
                <w:rFonts w:ascii="Calibri" w:hAnsi="Calibri"/>
                <w:color w:val="1E1E1E"/>
                <w:sz w:val="17"/>
              </w:rPr>
              <w:t>Structured</w:t>
            </w:r>
          </w:p>
        </w:tc>
        <w:tc>
          <w:tcPr>
            <w:tcW w:type="dxa" w:w="2550"/>
            <w:vAlign w:val="center"/>
          </w:tcPr>
          <w:p>
            <w:pPr>
              <w:spacing w:after="40"/>
            </w:pPr>
            <w:r>
              <w:rPr>
                <w:rFonts w:ascii="Calibri" w:hAnsi="Calibri"/>
                <w:color w:val="1E1E1E"/>
                <w:sz w:val="17"/>
              </w:rPr>
              <w:t>Early structured notebooks and Candidate-150 structured baseline work</w:t>
            </w:r>
          </w:p>
        </w:tc>
        <w:tc>
          <w:tcPr>
            <w:tcW w:type="dxa" w:w="3510"/>
            <w:vAlign w:val="center"/>
          </w:tcPr>
          <w:p>
            <w:pPr>
              <w:spacing w:after="40"/>
            </w:pPr>
            <w:r>
              <w:rPr>
                <w:rFonts w:ascii="Calibri" w:hAnsi="Calibri"/>
                <w:color w:val="1E1E1E"/>
                <w:sz w:val="17"/>
              </w:rPr>
              <w:t>Creates an interpretable tabular benchmark using one-vs-rest multi-label logic. It is useful as a baseline even though it was not the strongest final model.</w:t>
            </w:r>
          </w:p>
        </w:tc>
      </w:tr>
      <w:tr>
        <w:trPr>
          <w:cantSplit/>
        </w:trPr>
        <w:tc>
          <w:tcPr>
            <w:tcW w:type="dxa" w:w="2100"/>
            <w:vAlign w:val="center"/>
          </w:tcPr>
          <w:p>
            <w:pPr>
              <w:spacing w:after="40"/>
            </w:pPr>
            <w:r>
              <w:rPr>
                <w:rFonts w:ascii="Calibri" w:hAnsi="Calibri"/>
                <w:color w:val="1E1E1E"/>
                <w:sz w:val="17"/>
              </w:rPr>
              <w:t>SVM-style / hinge classifier</w:t>
            </w:r>
          </w:p>
        </w:tc>
        <w:tc>
          <w:tcPr>
            <w:tcW w:type="dxa" w:w="1200"/>
            <w:vAlign w:val="center"/>
          </w:tcPr>
          <w:p>
            <w:pPr>
              <w:spacing w:after="40"/>
            </w:pPr>
            <w:r>
              <w:rPr>
                <w:rFonts w:ascii="Calibri" w:hAnsi="Calibri"/>
                <w:color w:val="1E1E1E"/>
                <w:sz w:val="17"/>
              </w:rPr>
              <w:t>Structured</w:t>
            </w:r>
          </w:p>
        </w:tc>
        <w:tc>
          <w:tcPr>
            <w:tcW w:type="dxa" w:w="2550"/>
            <w:vAlign w:val="center"/>
          </w:tcPr>
          <w:p>
            <w:pPr>
              <w:spacing w:after="40"/>
            </w:pPr>
            <w:r>
              <w:rPr>
                <w:rFonts w:ascii="Calibri" w:hAnsi="Calibri"/>
                <w:color w:val="1E1E1E"/>
                <w:sz w:val="17"/>
              </w:rPr>
              <w:t>Structured model comparison and Candidate-150 structured upgrade</w:t>
            </w:r>
          </w:p>
        </w:tc>
        <w:tc>
          <w:tcPr>
            <w:tcW w:type="dxa" w:w="3510"/>
            <w:vAlign w:val="center"/>
          </w:tcPr>
          <w:p>
            <w:pPr>
              <w:spacing w:after="40"/>
            </w:pPr>
            <w:r>
              <w:rPr>
                <w:rFonts w:ascii="Calibri" w:hAnsi="Calibri"/>
                <w:color w:val="1E1E1E"/>
                <w:sz w:val="17"/>
              </w:rPr>
              <w:t>Uses margin-based classification on engineered features. This was the strongest structured model family.</w:t>
            </w:r>
          </w:p>
        </w:tc>
      </w:tr>
      <w:tr>
        <w:trPr>
          <w:cantSplit/>
        </w:trPr>
        <w:tc>
          <w:tcPr>
            <w:tcW w:type="dxa" w:w="2100"/>
            <w:vAlign w:val="center"/>
          </w:tcPr>
          <w:p>
            <w:pPr>
              <w:spacing w:after="40"/>
            </w:pPr>
            <w:r>
              <w:rPr>
                <w:rFonts w:ascii="Calibri" w:hAnsi="Calibri"/>
                <w:color w:val="1E1E1E"/>
                <w:sz w:val="17"/>
              </w:rPr>
              <w:t>Passive Aggressive classifier</w:t>
            </w:r>
          </w:p>
        </w:tc>
        <w:tc>
          <w:tcPr>
            <w:tcW w:type="dxa" w:w="1200"/>
            <w:vAlign w:val="center"/>
          </w:tcPr>
          <w:p>
            <w:pPr>
              <w:spacing w:after="40"/>
            </w:pPr>
            <w:r>
              <w:rPr>
                <w:rFonts w:ascii="Calibri" w:hAnsi="Calibri"/>
                <w:color w:val="1E1E1E"/>
                <w:sz w:val="17"/>
              </w:rPr>
              <w:t>Structured</w:t>
            </w:r>
          </w:p>
        </w:tc>
        <w:tc>
          <w:tcPr>
            <w:tcW w:type="dxa" w:w="2550"/>
            <w:vAlign w:val="center"/>
          </w:tcPr>
          <w:p>
            <w:pPr>
              <w:spacing w:after="40"/>
            </w:pPr>
            <w:r>
              <w:rPr>
                <w:rFonts w:ascii="Calibri" w:hAnsi="Calibri"/>
                <w:color w:val="1E1E1E"/>
                <w:sz w:val="17"/>
              </w:rPr>
              <w:t>Structured comparison notebooks</w:t>
            </w:r>
          </w:p>
        </w:tc>
        <w:tc>
          <w:tcPr>
            <w:tcW w:type="dxa" w:w="3510"/>
            <w:vAlign w:val="center"/>
          </w:tcPr>
          <w:p>
            <w:pPr>
              <w:spacing w:after="40"/>
            </w:pPr>
            <w:r>
              <w:rPr>
                <w:rFonts w:ascii="Calibri" w:hAnsi="Calibri"/>
                <w:color w:val="1E1E1E"/>
                <w:sz w:val="17"/>
              </w:rPr>
              <w:t>Tests an online-learning classifier for tabular features.</w:t>
            </w:r>
          </w:p>
        </w:tc>
      </w:tr>
      <w:tr>
        <w:trPr>
          <w:cantSplit/>
        </w:trPr>
        <w:tc>
          <w:tcPr>
            <w:tcW w:type="dxa" w:w="2100"/>
            <w:vAlign w:val="center"/>
          </w:tcPr>
          <w:p>
            <w:pPr>
              <w:spacing w:after="40"/>
            </w:pPr>
            <w:r>
              <w:rPr>
                <w:rFonts w:ascii="Calibri" w:hAnsi="Calibri"/>
                <w:color w:val="1E1E1E"/>
                <w:sz w:val="17"/>
              </w:rPr>
              <w:t>Convolutional Neural Network</w:t>
            </w:r>
          </w:p>
        </w:tc>
        <w:tc>
          <w:tcPr>
            <w:tcW w:type="dxa" w:w="1200"/>
            <w:vAlign w:val="center"/>
          </w:tcPr>
          <w:p>
            <w:pPr>
              <w:spacing w:after="40"/>
            </w:pPr>
            <w:r>
              <w:rPr>
                <w:rFonts w:ascii="Calibri" w:hAnsi="Calibri"/>
                <w:color w:val="1E1E1E"/>
                <w:sz w:val="17"/>
              </w:rPr>
              <w:t>Audio</w:t>
            </w:r>
          </w:p>
        </w:tc>
        <w:tc>
          <w:tcPr>
            <w:tcW w:type="dxa" w:w="2550"/>
            <w:vAlign w:val="center"/>
          </w:tcPr>
          <w:p>
            <w:pPr>
              <w:spacing w:after="40"/>
            </w:pPr>
            <w:r>
              <w:rPr>
                <w:rFonts w:ascii="Calibri" w:hAnsi="Calibri"/>
                <w:color w:val="1E1E1E"/>
                <w:sz w:val="17"/>
              </w:rPr>
              <w:t>Audio proof-of-concept, expanded audio, Candidate-150 audio, final inference notebooks</w:t>
            </w:r>
          </w:p>
        </w:tc>
        <w:tc>
          <w:tcPr>
            <w:tcW w:type="dxa" w:w="3510"/>
            <w:vAlign w:val="center"/>
          </w:tcPr>
          <w:p>
            <w:pPr>
              <w:spacing w:after="40"/>
            </w:pPr>
            <w:r>
              <w:rPr>
                <w:rFonts w:ascii="Calibri" w:hAnsi="Calibri"/>
                <w:color w:val="1E1E1E"/>
                <w:sz w:val="17"/>
              </w:rPr>
              <w:t>Learns patterns from Mel-spectrogram images generated from raw audio clips or windows. It supplied the dominant predictive signal.</w:t>
            </w:r>
          </w:p>
        </w:tc>
      </w:tr>
      <w:tr>
        <w:trPr>
          <w:cantSplit/>
        </w:trPr>
        <w:tc>
          <w:tcPr>
            <w:tcW w:type="dxa" w:w="2100"/>
            <w:vAlign w:val="center"/>
          </w:tcPr>
          <w:p>
            <w:pPr>
              <w:spacing w:after="40"/>
            </w:pPr>
            <w:r>
              <w:rPr>
                <w:rFonts w:ascii="Calibri" w:hAnsi="Calibri"/>
                <w:color w:val="1E1E1E"/>
                <w:sz w:val="17"/>
              </w:rPr>
              <w:t>Hybrid fusion / weighted ensemble</w:t>
            </w:r>
          </w:p>
        </w:tc>
        <w:tc>
          <w:tcPr>
            <w:tcW w:type="dxa" w:w="1200"/>
            <w:vAlign w:val="center"/>
          </w:tcPr>
          <w:p>
            <w:pPr>
              <w:spacing w:after="40"/>
            </w:pPr>
            <w:r>
              <w:rPr>
                <w:rFonts w:ascii="Calibri" w:hAnsi="Calibri"/>
                <w:color w:val="1E1E1E"/>
                <w:sz w:val="17"/>
              </w:rPr>
              <w:t>Hybrid</w:t>
            </w:r>
          </w:p>
        </w:tc>
        <w:tc>
          <w:tcPr>
            <w:tcW w:type="dxa" w:w="2550"/>
            <w:vAlign w:val="center"/>
          </w:tcPr>
          <w:p>
            <w:pPr>
              <w:spacing w:after="40"/>
            </w:pPr>
            <w:r>
              <w:rPr>
                <w:rFonts w:ascii="Calibri" w:hAnsi="Calibri"/>
                <w:color w:val="1E1E1E"/>
                <w:sz w:val="17"/>
              </w:rPr>
              <w:t>Hybrid fusion notebooks and final inference notebooks</w:t>
            </w:r>
          </w:p>
        </w:tc>
        <w:tc>
          <w:tcPr>
            <w:tcW w:type="dxa" w:w="3510"/>
            <w:vAlign w:val="center"/>
          </w:tcPr>
          <w:p>
            <w:pPr>
              <w:spacing w:after="40"/>
            </w:pPr>
            <w:r>
              <w:rPr>
                <w:rFonts w:ascii="Calibri" w:hAnsi="Calibri"/>
                <w:color w:val="1E1E1E"/>
                <w:sz w:val="17"/>
              </w:rPr>
              <w:t>Combines structured and audio outputs. This achieved the best historical Candidate-150 benchmark and became the final Stage 1 prediction approach.</w:t>
            </w:r>
          </w:p>
        </w:tc>
      </w:tr>
    </w:tbl>
    <w:p>
      <w:pPr>
        <w:spacing w:before="0" w:after="80"/>
      </w:pPr>
    </w:p>
    <w:p>
      <w:pPr>
        <w:pStyle w:val="Heading2"/>
      </w:pPr>
      <w:r>
        <w:t>8.2 Structured Modelling</w:t>
      </w:r>
    </w:p>
    <w:p>
      <w:r>
        <w:t>The structured branch used FMA feature tables and metadata-derived fields. It gave the project a clear baseline and covered the structured-data requirement. Results suggested that this branch was weaker than the audio branch, but it still mattered. Without it, there would be no fair comparison between tabular metadata features and raw-audio learning.</w:t>
      </w:r>
    </w:p>
    <w:p>
      <w:pPr>
        <w:pStyle w:val="Heading2"/>
      </w:pPr>
      <w:r>
        <w:t>8.3 Audio CNN Modelling</w:t>
      </w:r>
    </w:p>
    <w:p>
      <w:r>
        <w:t>The audio branch turned raw audio into Mel-spectrogram inputs. Experiments suggested that this became the strongest source of signal. Final testing used 15-second processing, matching the training setup. That point is easy to miss, but it matters. A model trained on one window style can look worse if tested with a different audio preparation method.</w:t>
      </w:r>
    </w:p>
    <w:p>
      <w:pPr>
        <w:pStyle w:val="Heading2"/>
      </w:pPr>
      <w:r>
        <w:t>8.4 Hybrid Fusion</w:t>
      </w:r>
    </w:p>
    <w:p>
      <w:r>
        <w:t>The hybrid model combines structured and audio probabilities. The best benchmark used 0.1 structured weight, 0.9 audio weight, and a 0.20 threshold. This was not chosen for appearance. The weighting reflects what the experiments suggested: audio carried most of the signal, while structured features added a smaller support signal.</w:t>
      </w:r>
    </w:p>
    <w:p>
      <w:pPr>
        <w:pStyle w:val="Heading2"/>
      </w:pPr>
      <w:r>
        <w:t>8.5 Full 163-Genre Inference</w:t>
      </w:r>
    </w:p>
    <w:p>
      <w:r>
        <w:t>The full pipeline expands the 150 direct labels to the 163-record inventory. Stage 1 predicts candidate labels. Stage 2 gives careful suggestions for rare labels. Inventory-only labels remain in the taxonomy, but they are not reported as direct predictions. This avoids making the rare end of the genre tree look more reliable than it is.</w:t>
      </w:r>
    </w:p>
    <w:tbl>
      <w:tblPr>
        <w:tblStyle w:val="TableGrid"/>
        <w:tblW w:type="dxa" w:w="9360"/>
        <w:tblLook w:firstColumn="1" w:firstRow="1" w:lastColumn="0" w:lastRow="0" w:noHBand="0" w:noVBand="1" w:val="04A0"/>
        <w:tblInd w:type="dxa" w:w="120"/>
      </w:tblPr>
      <w:tblGrid>
        <w:gridCol w:w="2300"/>
        <w:gridCol w:w="2500"/>
        <w:gridCol w:w="4560"/>
      </w:tblGrid>
      <w:tr>
        <w:trPr>
          <w:cantSplit/>
          <w:tblHeader/>
        </w:trPr>
        <w:tc>
          <w:tcPr>
            <w:tcW w:type="dxa" w:w="2300"/>
            <w:shd w:fill="1F4D78"/>
            <w:vAlign w:val="center"/>
          </w:tcPr>
          <w:p>
            <w:pPr>
              <w:spacing w:after="40"/>
              <w:jc w:val="center"/>
            </w:pPr>
            <w:r>
              <w:rPr>
                <w:rFonts w:ascii="Calibri" w:hAnsi="Calibri"/>
                <w:b/>
                <w:color w:val="FFFFFF"/>
                <w:sz w:val="18"/>
              </w:rPr>
              <w:t>Final component</w:t>
            </w:r>
          </w:p>
        </w:tc>
        <w:tc>
          <w:tcPr>
            <w:tcW w:type="dxa" w:w="2500"/>
            <w:shd w:fill="1F4D78"/>
            <w:vAlign w:val="center"/>
          </w:tcPr>
          <w:p>
            <w:pPr>
              <w:spacing w:after="40"/>
              <w:jc w:val="center"/>
            </w:pPr>
            <w:r>
              <w:rPr>
                <w:rFonts w:ascii="Calibri" w:hAnsi="Calibri"/>
                <w:b/>
                <w:color w:val="FFFFFF"/>
                <w:sz w:val="18"/>
              </w:rPr>
              <w:t>Configuration</w:t>
            </w:r>
          </w:p>
        </w:tc>
        <w:tc>
          <w:tcPr>
            <w:tcW w:type="dxa" w:w="4560"/>
            <w:shd w:fill="1F4D78"/>
            <w:vAlign w:val="center"/>
          </w:tcPr>
          <w:p>
            <w:pPr>
              <w:spacing w:after="40"/>
              <w:jc w:val="center"/>
            </w:pPr>
            <w:r>
              <w:rPr>
                <w:rFonts w:ascii="Calibri" w:hAnsi="Calibri"/>
                <w:b/>
                <w:color w:val="FFFFFF"/>
                <w:sz w:val="18"/>
              </w:rPr>
              <w:t>Reason</w:t>
            </w:r>
          </w:p>
        </w:tc>
      </w:tr>
      <w:tr>
        <w:trPr>
          <w:cantSplit/>
        </w:trPr>
        <w:tc>
          <w:tcPr>
            <w:tcW w:type="dxa" w:w="2300"/>
            <w:vAlign w:val="center"/>
          </w:tcPr>
          <w:p>
            <w:pPr>
              <w:spacing w:after="40"/>
            </w:pPr>
            <w:r>
              <w:rPr>
                <w:rFonts w:ascii="Calibri" w:hAnsi="Calibri"/>
                <w:color w:val="1E1E1E"/>
                <w:sz w:val="17"/>
              </w:rPr>
              <w:t>Direct label space</w:t>
            </w:r>
          </w:p>
        </w:tc>
        <w:tc>
          <w:tcPr>
            <w:tcW w:type="dxa" w:w="2500"/>
            <w:vAlign w:val="center"/>
          </w:tcPr>
          <w:p>
            <w:pPr>
              <w:spacing w:after="40"/>
            </w:pPr>
            <w:r>
              <w:rPr>
                <w:rFonts w:ascii="Calibri" w:hAnsi="Calibri"/>
                <w:color w:val="1E1E1E"/>
                <w:sz w:val="17"/>
              </w:rPr>
              <w:t>150 candidate labels</w:t>
            </w:r>
          </w:p>
        </w:tc>
        <w:tc>
          <w:tcPr>
            <w:tcW w:type="dxa" w:w="4560"/>
            <w:vAlign w:val="center"/>
          </w:tcPr>
          <w:p>
            <w:pPr>
              <w:spacing w:after="40"/>
            </w:pPr>
            <w:r>
              <w:rPr>
                <w:rFonts w:ascii="Calibri" w:hAnsi="Calibri"/>
                <w:color w:val="1E1E1E"/>
                <w:sz w:val="17"/>
              </w:rPr>
              <w:t>Enough support for direct multi-label modelling.</w:t>
            </w:r>
          </w:p>
        </w:tc>
      </w:tr>
      <w:tr>
        <w:trPr>
          <w:cantSplit/>
        </w:trPr>
        <w:tc>
          <w:tcPr>
            <w:tcW w:type="dxa" w:w="2300"/>
            <w:vAlign w:val="center"/>
          </w:tcPr>
          <w:p>
            <w:pPr>
              <w:spacing w:after="40"/>
            </w:pPr>
            <w:r>
              <w:rPr>
                <w:rFonts w:ascii="Calibri" w:hAnsi="Calibri"/>
                <w:color w:val="1E1E1E"/>
                <w:sz w:val="17"/>
              </w:rPr>
              <w:t>Full inventory</w:t>
            </w:r>
          </w:p>
        </w:tc>
        <w:tc>
          <w:tcPr>
            <w:tcW w:type="dxa" w:w="2500"/>
            <w:vAlign w:val="center"/>
          </w:tcPr>
          <w:p>
            <w:pPr>
              <w:spacing w:after="40"/>
            </w:pPr>
            <w:r>
              <w:rPr>
                <w:rFonts w:ascii="Calibri" w:hAnsi="Calibri"/>
                <w:color w:val="1E1E1E"/>
                <w:sz w:val="17"/>
              </w:rPr>
              <w:t>163 genre records</w:t>
            </w:r>
          </w:p>
        </w:tc>
        <w:tc>
          <w:tcPr>
            <w:tcW w:type="dxa" w:w="4560"/>
            <w:vAlign w:val="center"/>
          </w:tcPr>
          <w:p>
            <w:pPr>
              <w:spacing w:after="40"/>
            </w:pPr>
            <w:r>
              <w:rPr>
                <w:rFonts w:ascii="Calibri" w:hAnsi="Calibri"/>
                <w:color w:val="1E1E1E"/>
                <w:sz w:val="17"/>
              </w:rPr>
              <w:t>Corrected full taxonomy accounting.</w:t>
            </w:r>
          </w:p>
        </w:tc>
      </w:tr>
      <w:tr>
        <w:trPr>
          <w:cantSplit/>
        </w:trPr>
        <w:tc>
          <w:tcPr>
            <w:tcW w:type="dxa" w:w="2300"/>
            <w:vAlign w:val="center"/>
          </w:tcPr>
          <w:p>
            <w:pPr>
              <w:spacing w:after="40"/>
            </w:pPr>
            <w:r>
              <w:rPr>
                <w:rFonts w:ascii="Calibri" w:hAnsi="Calibri"/>
                <w:color w:val="1E1E1E"/>
                <w:sz w:val="17"/>
              </w:rPr>
              <w:t>Rare-tail handling</w:t>
            </w:r>
          </w:p>
        </w:tc>
        <w:tc>
          <w:tcPr>
            <w:tcW w:type="dxa" w:w="2500"/>
            <w:vAlign w:val="center"/>
          </w:tcPr>
          <w:p>
            <w:pPr>
              <w:spacing w:after="40"/>
            </w:pPr>
            <w:r>
              <w:rPr>
                <w:rFonts w:ascii="Calibri" w:hAnsi="Calibri"/>
                <w:color w:val="1E1E1E"/>
                <w:sz w:val="17"/>
              </w:rPr>
              <w:t>10 fallback labels</w:t>
            </w:r>
          </w:p>
        </w:tc>
        <w:tc>
          <w:tcPr>
            <w:tcW w:type="dxa" w:w="4560"/>
            <w:vAlign w:val="center"/>
          </w:tcPr>
          <w:p>
            <w:pPr>
              <w:spacing w:after="40"/>
            </w:pPr>
            <w:r>
              <w:rPr>
                <w:rFonts w:ascii="Calibri" w:hAnsi="Calibri"/>
                <w:color w:val="1E1E1E"/>
                <w:sz w:val="17"/>
              </w:rPr>
              <w:t>Too sparse for strong direct training claims.</w:t>
            </w:r>
          </w:p>
        </w:tc>
      </w:tr>
      <w:tr>
        <w:trPr>
          <w:cantSplit/>
        </w:trPr>
        <w:tc>
          <w:tcPr>
            <w:tcW w:type="dxa" w:w="2300"/>
            <w:vAlign w:val="center"/>
          </w:tcPr>
          <w:p>
            <w:pPr>
              <w:spacing w:after="40"/>
            </w:pPr>
            <w:r>
              <w:rPr>
                <w:rFonts w:ascii="Calibri" w:hAnsi="Calibri"/>
                <w:color w:val="1E1E1E"/>
                <w:sz w:val="17"/>
              </w:rPr>
              <w:t>Inventory-only handling</w:t>
            </w:r>
          </w:p>
        </w:tc>
        <w:tc>
          <w:tcPr>
            <w:tcW w:type="dxa" w:w="2500"/>
            <w:vAlign w:val="center"/>
          </w:tcPr>
          <w:p>
            <w:pPr>
              <w:spacing w:after="40"/>
            </w:pPr>
            <w:r>
              <w:rPr>
                <w:rFonts w:ascii="Calibri" w:hAnsi="Calibri"/>
                <w:color w:val="1E1E1E"/>
                <w:sz w:val="17"/>
              </w:rPr>
              <w:t>3 labels</w:t>
            </w:r>
          </w:p>
        </w:tc>
        <w:tc>
          <w:tcPr>
            <w:tcW w:type="dxa" w:w="4560"/>
            <w:vAlign w:val="center"/>
          </w:tcPr>
          <w:p>
            <w:pPr>
              <w:spacing w:after="40"/>
            </w:pPr>
            <w:r>
              <w:rPr>
                <w:rFonts w:ascii="Calibri" w:hAnsi="Calibri"/>
                <w:color w:val="1E1E1E"/>
                <w:sz w:val="17"/>
              </w:rPr>
              <w:t>Retained for completeness, not direct prediction.</w:t>
            </w:r>
          </w:p>
        </w:tc>
      </w:tr>
      <w:tr>
        <w:trPr>
          <w:cantSplit/>
        </w:trPr>
        <w:tc>
          <w:tcPr>
            <w:tcW w:type="dxa" w:w="2300"/>
            <w:vAlign w:val="center"/>
          </w:tcPr>
          <w:p>
            <w:pPr>
              <w:spacing w:after="40"/>
            </w:pPr>
            <w:r>
              <w:rPr>
                <w:rFonts w:ascii="Calibri" w:hAnsi="Calibri"/>
                <w:color w:val="1E1E1E"/>
                <w:sz w:val="17"/>
              </w:rPr>
              <w:t>Fusion weights</w:t>
            </w:r>
          </w:p>
        </w:tc>
        <w:tc>
          <w:tcPr>
            <w:tcW w:type="dxa" w:w="2500"/>
            <w:vAlign w:val="center"/>
          </w:tcPr>
          <w:p>
            <w:pPr>
              <w:spacing w:after="40"/>
            </w:pPr>
            <w:r>
              <w:rPr>
                <w:rFonts w:ascii="Calibri" w:hAnsi="Calibri"/>
                <w:color w:val="1E1E1E"/>
                <w:sz w:val="17"/>
              </w:rPr>
              <w:t>Structured 0.1, Audio 0.9</w:t>
            </w:r>
          </w:p>
        </w:tc>
        <w:tc>
          <w:tcPr>
            <w:tcW w:type="dxa" w:w="4560"/>
            <w:vAlign w:val="center"/>
          </w:tcPr>
          <w:p>
            <w:pPr>
              <w:spacing w:after="40"/>
            </w:pPr>
            <w:r>
              <w:rPr>
                <w:rFonts w:ascii="Calibri" w:hAnsi="Calibri"/>
                <w:color w:val="1E1E1E"/>
                <w:sz w:val="17"/>
              </w:rPr>
              <w:t>Audio branch provided the strongest signal.</w:t>
            </w:r>
          </w:p>
        </w:tc>
      </w:tr>
      <w:tr>
        <w:trPr>
          <w:cantSplit/>
        </w:trPr>
        <w:tc>
          <w:tcPr>
            <w:tcW w:type="dxa" w:w="2300"/>
            <w:vAlign w:val="center"/>
          </w:tcPr>
          <w:p>
            <w:pPr>
              <w:spacing w:after="40"/>
            </w:pPr>
            <w:r>
              <w:rPr>
                <w:rFonts w:ascii="Calibri" w:hAnsi="Calibri"/>
                <w:color w:val="1E1E1E"/>
                <w:sz w:val="17"/>
              </w:rPr>
              <w:t>Global threshold</w:t>
            </w:r>
          </w:p>
        </w:tc>
        <w:tc>
          <w:tcPr>
            <w:tcW w:type="dxa" w:w="2500"/>
            <w:vAlign w:val="center"/>
          </w:tcPr>
          <w:p>
            <w:pPr>
              <w:spacing w:after="40"/>
            </w:pPr>
            <w:r>
              <w:rPr>
                <w:rFonts w:ascii="Calibri" w:hAnsi="Calibri"/>
                <w:color w:val="1E1E1E"/>
                <w:sz w:val="17"/>
              </w:rPr>
              <w:t>0.20</w:t>
            </w:r>
          </w:p>
        </w:tc>
        <w:tc>
          <w:tcPr>
            <w:tcW w:type="dxa" w:w="4560"/>
            <w:vAlign w:val="center"/>
          </w:tcPr>
          <w:p>
            <w:pPr>
              <w:spacing w:after="40"/>
            </w:pPr>
            <w:r>
              <w:rPr>
                <w:rFonts w:ascii="Calibri" w:hAnsi="Calibri"/>
                <w:color w:val="1E1E1E"/>
                <w:sz w:val="17"/>
              </w:rPr>
              <w:t>Multi-label probabilities were conservative.</w:t>
            </w:r>
          </w:p>
        </w:tc>
      </w:tr>
    </w:tbl>
    <w:p>
      <w:pPr>
        <w:spacing w:before="0" w:after="80"/>
      </w:pPr>
    </w:p>
    <w:p>
      <w:pPr>
        <w:pStyle w:val="Heading2"/>
      </w:pPr>
      <w:r>
        <w:t>8.6 Candidate-150 Benchmark Evidence</w:t>
      </w:r>
    </w:p>
    <w:p>
      <w:r>
        <w:t>The Candidate-150 phase is the main comparison stage before the full 163-genre plan. The table below comes from saved benchmark outputs. It shows why hybrid fusion is reported as the best benchmark. It also explains why the conservative setting remains useful when a smaller and cleaner set of outputs is preferred.</w:t>
      </w:r>
    </w:p>
    <w:p>
      <w:pPr/>
      <w:r>
        <w:t>The Candidate-150 results need to be read as a comparison of modelling behaviour, not only as a ranking of scores. The structured baseline gave a useful reference point because it tested what could be learned from metadata and engineered features alone. The audio CNN then tested whether the sound signal carried more information than the structured tables. The hybrid branch combined both sources, but the comparison suggested that the audio stream became the strongest source of predictive signal.</w:t>
      </w:r>
    </w:p>
    <w:p>
      <w:pPr/>
      <w:r>
        <w:t>This result is reasonable for music genre work. Metadata and engineered features can describe a track, but a genre label often depends on rhythm, timbre, instrumentation, and production style. Those signals are more directly represented in Mel-spectrogram windows. Hybrid fusion was still retained because the structured branch added context and gave a more complete capstone design, but the final interpretation does not hide the fact that audio was the main driver of the stronger models.</w:t>
      </w:r>
    </w:p>
    <w:p>
      <w:pPr>
        <w:pStyle w:val="Heading2"/>
      </w:pPr>
      <w:r>
        <w:t>8.7 Why the Final Branch Was Not Chosen on One Metric Alone</w:t>
      </w:r>
    </w:p>
    <w:p>
      <w:pPr/>
      <w:r/>
      <w:r>
        <w:t>The final branch was not chosen by Micro F1 alone because the metrics pointed to different parts of the problem. Micro F1 gave more weight to frequent labels and therefore described the behaviour of the system on better-supported genres. Macro F1 treated each label more equally and stayed low because rare labels had little support. These two results can coexist. The model may perform well on common labels while still struggling with labels that appear only a small number of times.</w:t>
      </w:r>
    </w:p>
    <w:p>
      <w:pPr/>
      <w:r/>
      <w:r>
        <w:t>The Top-k results add another layer to this interpretation. A low Macro F1 does not mean the model has no practical value. It means the model is uneven across the taxonomy. High Top-3 and Top-5 rates show that, for many test tracks, a relevant genre appears near the top of the ranked list even when the exact first label is not always correct. This supports a review workflow where the model narrows the search space for a human reviewer.</w:t>
      </w:r>
    </w:p>
    <w:p>
      <w:pPr/>
      <w:r/>
      <w:r>
        <w:t>The trade-off is clear. A system that predicts more labels may improve recall but become noisy. A very conservative system may be easier to read but miss useful secondary genres. The final recommendation therefore favours ranked output with confidence controls. This is a more honest use of the evidence than claiming that the highest scoring branch solves genre classification in full.</w:t>
      </w:r>
    </w:p>
    <w:tbl>
      <w:tblPr>
        <w:tblStyle w:val="TableGrid"/>
        <w:tblW w:type="dxa" w:w="10360"/>
        <w:tblLook w:firstColumn="1" w:firstRow="1" w:lastColumn="0" w:lastRow="0" w:noHBand="0" w:noVBand="1" w:val="04A0"/>
        <w:tblInd w:type="dxa" w:w="120"/>
      </w:tblPr>
      <w:tblGrid>
        <w:gridCol w:w="950"/>
        <w:gridCol w:w="1100"/>
        <w:gridCol w:w="2300"/>
        <w:gridCol w:w="1900"/>
        <w:gridCol w:w="900"/>
        <w:gridCol w:w="900"/>
        <w:gridCol w:w="1000"/>
        <w:gridCol w:w="1310"/>
      </w:tblGrid>
      <w:tr>
        <w:trPr>
          <w:cantSplit/>
          <w:tblHeader/>
        </w:trPr>
        <w:tc>
          <w:tcPr>
            <w:tcW w:type="dxa" w:w="950"/>
            <w:shd w:fill="1F4D78"/>
            <w:vAlign w:val="center"/>
          </w:tcPr>
          <w:p>
            <w:pPr>
              <w:spacing w:after="40"/>
              <w:jc w:val="center"/>
            </w:pPr>
            <w:r>
              <w:rPr>
                <w:rFonts w:ascii="Calibri" w:hAnsi="Calibri"/>
                <w:b/>
                <w:color w:val="FFFFFF"/>
                <w:sz w:val="18"/>
              </w:rPr>
              <w:t>Phase</w:t>
            </w:r>
          </w:p>
        </w:tc>
        <w:tc>
          <w:tcPr>
            <w:tcW w:type="dxa" w:w="1100"/>
            <w:shd w:fill="1F4D78"/>
            <w:vAlign w:val="center"/>
          </w:tcPr>
          <w:p>
            <w:pPr>
              <w:spacing w:after="40"/>
              <w:jc w:val="center"/>
            </w:pPr>
            <w:r>
              <w:rPr>
                <w:rFonts w:ascii="Calibri" w:hAnsi="Calibri"/>
                <w:b/>
                <w:color w:val="FFFFFF"/>
                <w:sz w:val="18"/>
              </w:rPr>
              <w:t>Family</w:t>
            </w:r>
          </w:p>
        </w:tc>
        <w:tc>
          <w:tcPr>
            <w:tcW w:type="dxa" w:w="2300"/>
            <w:shd w:fill="1F4D78"/>
            <w:vAlign w:val="center"/>
          </w:tcPr>
          <w:p>
            <w:pPr>
              <w:spacing w:after="40"/>
              <w:jc w:val="center"/>
            </w:pPr>
            <w:r>
              <w:rPr>
                <w:rFonts w:ascii="Calibri" w:hAnsi="Calibri"/>
                <w:b/>
                <w:color w:val="FFFFFF"/>
                <w:sz w:val="18"/>
              </w:rPr>
              <w:t>Model</w:t>
            </w:r>
          </w:p>
        </w:tc>
        <w:tc>
          <w:tcPr>
            <w:tcW w:type="dxa" w:w="1900"/>
            <w:shd w:fill="1F4D78"/>
            <w:vAlign w:val="center"/>
          </w:tcPr>
          <w:p>
            <w:pPr>
              <w:spacing w:after="40"/>
              <w:jc w:val="center"/>
            </w:pPr>
            <w:r>
              <w:rPr>
                <w:rFonts w:ascii="Calibri" w:hAnsi="Calibri"/>
                <w:b/>
                <w:color w:val="FFFFFF"/>
                <w:sz w:val="18"/>
              </w:rPr>
              <w:t>Configuration</w:t>
            </w:r>
          </w:p>
        </w:tc>
        <w:tc>
          <w:tcPr>
            <w:tcW w:type="dxa" w:w="900"/>
            <w:shd w:fill="1F4D78"/>
            <w:vAlign w:val="center"/>
          </w:tcPr>
          <w:p>
            <w:pPr>
              <w:spacing w:after="40"/>
              <w:jc w:val="center"/>
            </w:pPr>
            <w:r>
              <w:rPr>
                <w:rFonts w:ascii="Calibri" w:hAnsi="Calibri"/>
                <w:b/>
                <w:color w:val="FFFFFF"/>
                <w:sz w:val="18"/>
              </w:rPr>
              <w:t>Micro F1</w:t>
            </w:r>
          </w:p>
        </w:tc>
        <w:tc>
          <w:tcPr>
            <w:tcW w:type="dxa" w:w="900"/>
            <w:shd w:fill="1F4D78"/>
            <w:vAlign w:val="center"/>
          </w:tcPr>
          <w:p>
            <w:pPr>
              <w:spacing w:after="40"/>
              <w:jc w:val="center"/>
            </w:pPr>
            <w:r>
              <w:rPr>
                <w:rFonts w:ascii="Calibri" w:hAnsi="Calibri"/>
                <w:b/>
                <w:color w:val="FFFFFF"/>
                <w:sz w:val="18"/>
              </w:rPr>
              <w:t>Macro F1</w:t>
            </w:r>
          </w:p>
        </w:tc>
        <w:tc>
          <w:tcPr>
            <w:tcW w:type="dxa" w:w="1000"/>
            <w:shd w:fill="1F4D78"/>
            <w:vAlign w:val="center"/>
          </w:tcPr>
          <w:p>
            <w:pPr>
              <w:spacing w:after="40"/>
              <w:jc w:val="center"/>
            </w:pPr>
            <w:r>
              <w:rPr>
                <w:rFonts w:ascii="Calibri" w:hAnsi="Calibri"/>
                <w:b/>
                <w:color w:val="FFFFFF"/>
                <w:sz w:val="18"/>
              </w:rPr>
              <w:t>Samples F1</w:t>
            </w:r>
          </w:p>
        </w:tc>
        <w:tc>
          <w:tcPr>
            <w:tcW w:type="dxa" w:w="1310"/>
            <w:shd w:fill="1F4D78"/>
            <w:vAlign w:val="center"/>
          </w:tcPr>
          <w:p>
            <w:pPr>
              <w:spacing w:after="40"/>
              <w:jc w:val="center"/>
            </w:pPr>
            <w:r>
              <w:rPr>
                <w:rFonts w:ascii="Calibri" w:hAnsi="Calibri"/>
                <w:b/>
                <w:color w:val="FFFFFF"/>
                <w:sz w:val="18"/>
              </w:rPr>
              <w:t>Avg labels</w:t>
            </w:r>
          </w:p>
        </w:tc>
      </w:tr>
      <w:tr>
        <w:trPr>
          <w:cantSplit/>
        </w:trPr>
        <w:tc>
          <w:tcPr>
            <w:tcW w:type="dxa" w:w="950"/>
            <w:vAlign w:val="center"/>
          </w:tcPr>
          <w:p>
            <w:pPr>
              <w:spacing w:after="40"/>
            </w:pPr>
            <w:r>
              <w:rPr>
                <w:rFonts w:ascii="Calibri" w:hAnsi="Calibri"/>
                <w:color w:val="1E1E1E"/>
                <w:sz w:val="17"/>
              </w:rPr>
              <w:t>Pilot</w:t>
            </w:r>
          </w:p>
        </w:tc>
        <w:tc>
          <w:tcPr>
            <w:tcW w:type="dxa" w:w="1100"/>
            <w:vAlign w:val="center"/>
          </w:tcPr>
          <w:p>
            <w:pPr>
              <w:spacing w:after="40"/>
            </w:pPr>
            <w:r>
              <w:rPr>
                <w:rFonts w:ascii="Calibri" w:hAnsi="Calibri"/>
                <w:color w:val="1E1E1E"/>
                <w:sz w:val="17"/>
              </w:rPr>
              <w:t>Structured</w:t>
            </w:r>
          </w:p>
        </w:tc>
        <w:tc>
          <w:tcPr>
            <w:tcW w:type="dxa" w:w="2300"/>
            <w:vAlign w:val="center"/>
          </w:tcPr>
          <w:p>
            <w:pPr>
              <w:spacing w:after="40"/>
            </w:pPr>
            <w:r>
              <w:rPr>
                <w:rFonts w:ascii="Calibri" w:hAnsi="Calibri"/>
                <w:color w:val="1E1E1E"/>
                <w:sz w:val="17"/>
              </w:rPr>
              <w:t>Structured Model on Audio Pilot - Test</w:t>
            </w:r>
          </w:p>
        </w:tc>
        <w:tc>
          <w:tcPr>
            <w:tcW w:type="dxa" w:w="1900"/>
            <w:vAlign w:val="center"/>
          </w:tcPr>
          <w:p>
            <w:pPr>
              <w:spacing w:after="40"/>
            </w:pPr>
            <w:r>
              <w:rPr>
                <w:rFonts w:ascii="Calibri" w:hAnsi="Calibri"/>
                <w:color w:val="1E1E1E"/>
                <w:sz w:val="17"/>
              </w:rPr>
              <w:t>Frozen structured model</w:t>
            </w:r>
          </w:p>
        </w:tc>
        <w:tc>
          <w:tcPr>
            <w:tcW w:type="dxa" w:w="900"/>
            <w:vAlign w:val="center"/>
          </w:tcPr>
          <w:p>
            <w:pPr>
              <w:spacing w:after="40"/>
            </w:pPr>
            <w:r>
              <w:rPr>
                <w:rFonts w:ascii="Calibri" w:hAnsi="Calibri"/>
                <w:color w:val="1E1E1E"/>
                <w:sz w:val="17"/>
              </w:rPr>
              <w:t>0.166</w:t>
            </w:r>
          </w:p>
        </w:tc>
        <w:tc>
          <w:tcPr>
            <w:tcW w:type="dxa" w:w="900"/>
            <w:vAlign w:val="center"/>
          </w:tcPr>
          <w:p>
            <w:pPr>
              <w:spacing w:after="40"/>
            </w:pPr>
            <w:r>
              <w:rPr>
                <w:rFonts w:ascii="Calibri" w:hAnsi="Calibri"/>
                <w:color w:val="1E1E1E"/>
                <w:sz w:val="17"/>
              </w:rPr>
              <w:t>0.084</w:t>
            </w:r>
          </w:p>
        </w:tc>
        <w:tc>
          <w:tcPr>
            <w:tcW w:type="dxa" w:w="1000"/>
            <w:vAlign w:val="center"/>
          </w:tcPr>
          <w:p>
            <w:pPr>
              <w:spacing w:after="40"/>
            </w:pPr>
            <w:r>
              <w:rPr>
                <w:rFonts w:ascii="Calibri" w:hAnsi="Calibri"/>
                <w:color w:val="1E1E1E"/>
                <w:sz w:val="17"/>
              </w:rPr>
              <w:t>0.167</w:t>
            </w:r>
          </w:p>
        </w:tc>
        <w:tc>
          <w:tcPr>
            <w:tcW w:type="dxa" w:w="1310"/>
            <w:vAlign w:val="center"/>
          </w:tcPr>
          <w:p>
            <w:pPr>
              <w:spacing w:after="40"/>
            </w:pPr>
            <w:r>
              <w:rPr>
                <w:rFonts w:ascii="Calibri" w:hAnsi="Calibri"/>
                <w:color w:val="1E1E1E"/>
                <w:sz w:val="17"/>
              </w:rPr>
              <w:t>21.80</w:t>
            </w:r>
          </w:p>
        </w:tc>
      </w:tr>
      <w:tr>
        <w:trPr>
          <w:cantSplit/>
        </w:trPr>
        <w:tc>
          <w:tcPr>
            <w:tcW w:type="dxa" w:w="950"/>
            <w:vAlign w:val="center"/>
          </w:tcPr>
          <w:p>
            <w:pPr>
              <w:spacing w:after="40"/>
            </w:pPr>
            <w:r>
              <w:rPr>
                <w:rFonts w:ascii="Calibri" w:hAnsi="Calibri"/>
                <w:color w:val="1E1E1E"/>
                <w:sz w:val="17"/>
              </w:rPr>
              <w:t>Pilot</w:t>
            </w:r>
          </w:p>
        </w:tc>
        <w:tc>
          <w:tcPr>
            <w:tcW w:type="dxa" w:w="1100"/>
            <w:vAlign w:val="center"/>
          </w:tcPr>
          <w:p>
            <w:pPr>
              <w:spacing w:after="40"/>
            </w:pPr>
            <w:r>
              <w:rPr>
                <w:rFonts w:ascii="Calibri" w:hAnsi="Calibri"/>
                <w:color w:val="1E1E1E"/>
                <w:sz w:val="17"/>
              </w:rPr>
              <w:t>Audio</w:t>
            </w:r>
          </w:p>
        </w:tc>
        <w:tc>
          <w:tcPr>
            <w:tcW w:type="dxa" w:w="2300"/>
            <w:vAlign w:val="center"/>
          </w:tcPr>
          <w:p>
            <w:pPr>
              <w:spacing w:after="40"/>
            </w:pPr>
            <w:r>
              <w:rPr>
                <w:rFonts w:ascii="Calibri" w:hAnsi="Calibri"/>
                <w:color w:val="1E1E1E"/>
                <w:sz w:val="17"/>
              </w:rPr>
              <w:t>Audio Multi-Label CNN - Tuned Threshold</w:t>
            </w:r>
          </w:p>
        </w:tc>
        <w:tc>
          <w:tcPr>
            <w:tcW w:type="dxa" w:w="1900"/>
            <w:vAlign w:val="center"/>
          </w:tcPr>
          <w:p>
            <w:pPr>
              <w:spacing w:after="40"/>
            </w:pPr>
            <w:r>
              <w:rPr>
                <w:rFonts w:ascii="Calibri" w:hAnsi="Calibri"/>
                <w:color w:val="1E1E1E"/>
                <w:sz w:val="17"/>
              </w:rPr>
              <w:t>Global threshold=0.15</w:t>
            </w:r>
          </w:p>
        </w:tc>
        <w:tc>
          <w:tcPr>
            <w:tcW w:type="dxa" w:w="900"/>
            <w:vAlign w:val="center"/>
          </w:tcPr>
          <w:p>
            <w:pPr>
              <w:spacing w:after="40"/>
            </w:pPr>
            <w:r>
              <w:rPr>
                <w:rFonts w:ascii="Calibri" w:hAnsi="Calibri"/>
                <w:color w:val="1E1E1E"/>
                <w:sz w:val="17"/>
              </w:rPr>
              <w:t>0.362</w:t>
            </w:r>
          </w:p>
        </w:tc>
        <w:tc>
          <w:tcPr>
            <w:tcW w:type="dxa" w:w="900"/>
            <w:vAlign w:val="center"/>
          </w:tcPr>
          <w:p>
            <w:pPr>
              <w:spacing w:after="40"/>
            </w:pPr>
            <w:r>
              <w:rPr>
                <w:rFonts w:ascii="Calibri" w:hAnsi="Calibri"/>
                <w:color w:val="1E1E1E"/>
                <w:sz w:val="17"/>
              </w:rPr>
              <w:t>0.043</w:t>
            </w:r>
          </w:p>
        </w:tc>
        <w:tc>
          <w:tcPr>
            <w:tcW w:type="dxa" w:w="1000"/>
            <w:vAlign w:val="center"/>
          </w:tcPr>
          <w:p>
            <w:pPr>
              <w:spacing w:after="40"/>
            </w:pPr>
            <w:r>
              <w:rPr>
                <w:rFonts w:ascii="Calibri" w:hAnsi="Calibri"/>
                <w:color w:val="1E1E1E"/>
                <w:sz w:val="17"/>
              </w:rPr>
              <w:t>0.358</w:t>
            </w:r>
          </w:p>
        </w:tc>
        <w:tc>
          <w:tcPr>
            <w:tcW w:type="dxa" w:w="1310"/>
            <w:vAlign w:val="center"/>
          </w:tcPr>
          <w:p>
            <w:pPr>
              <w:spacing w:after="40"/>
            </w:pPr>
            <w:r>
              <w:rPr>
                <w:rFonts w:ascii="Calibri" w:hAnsi="Calibri"/>
                <w:color w:val="1E1E1E"/>
                <w:sz w:val="17"/>
              </w:rPr>
              <w:t>4.78</w:t>
            </w:r>
          </w:p>
        </w:tc>
      </w:tr>
      <w:tr>
        <w:trPr>
          <w:cantSplit/>
        </w:trPr>
        <w:tc>
          <w:tcPr>
            <w:tcW w:type="dxa" w:w="950"/>
            <w:vAlign w:val="center"/>
          </w:tcPr>
          <w:p>
            <w:pPr>
              <w:spacing w:after="40"/>
            </w:pPr>
            <w:r>
              <w:rPr>
                <w:rFonts w:ascii="Calibri" w:hAnsi="Calibri"/>
                <w:color w:val="1E1E1E"/>
                <w:sz w:val="17"/>
              </w:rPr>
              <w:t>Pilot</w:t>
            </w:r>
          </w:p>
        </w:tc>
        <w:tc>
          <w:tcPr>
            <w:tcW w:type="dxa" w:w="1100"/>
            <w:vAlign w:val="center"/>
          </w:tcPr>
          <w:p>
            <w:pPr>
              <w:spacing w:after="40"/>
            </w:pPr>
            <w:r>
              <w:rPr>
                <w:rFonts w:ascii="Calibri" w:hAnsi="Calibri"/>
                <w:color w:val="1E1E1E"/>
                <w:sz w:val="17"/>
              </w:rPr>
              <w:t>Hybrid</w:t>
            </w:r>
          </w:p>
        </w:tc>
        <w:tc>
          <w:tcPr>
            <w:tcW w:type="dxa" w:w="2300"/>
            <w:vAlign w:val="center"/>
          </w:tcPr>
          <w:p>
            <w:pPr>
              <w:spacing w:after="40"/>
            </w:pPr>
            <w:r>
              <w:rPr>
                <w:rFonts w:ascii="Calibri" w:hAnsi="Calibri"/>
                <w:color w:val="1E1E1E"/>
                <w:sz w:val="17"/>
              </w:rPr>
              <w:t>Hybrid Global Threshold</w:t>
            </w:r>
          </w:p>
        </w:tc>
        <w:tc>
          <w:tcPr>
            <w:tcW w:type="dxa" w:w="1900"/>
            <w:vAlign w:val="center"/>
          </w:tcPr>
          <w:p>
            <w:pPr>
              <w:spacing w:after="40"/>
            </w:pPr>
            <w:r>
              <w:rPr>
                <w:rFonts w:ascii="Calibri" w:hAnsi="Calibri"/>
                <w:color w:val="1E1E1E"/>
                <w:sz w:val="17"/>
              </w:rPr>
              <w:t>S=0.1, A=0.9, T=0.2</w:t>
            </w:r>
          </w:p>
        </w:tc>
        <w:tc>
          <w:tcPr>
            <w:tcW w:type="dxa" w:w="900"/>
            <w:vAlign w:val="center"/>
          </w:tcPr>
          <w:p>
            <w:pPr>
              <w:spacing w:after="40"/>
            </w:pPr>
            <w:r>
              <w:rPr>
                <w:rFonts w:ascii="Calibri" w:hAnsi="Calibri"/>
                <w:color w:val="1E1E1E"/>
                <w:sz w:val="17"/>
              </w:rPr>
              <w:t>0.378</w:t>
            </w:r>
          </w:p>
        </w:tc>
        <w:tc>
          <w:tcPr>
            <w:tcW w:type="dxa" w:w="900"/>
            <w:vAlign w:val="center"/>
          </w:tcPr>
          <w:p>
            <w:pPr>
              <w:spacing w:after="40"/>
            </w:pPr>
            <w:r>
              <w:rPr>
                <w:rFonts w:ascii="Calibri" w:hAnsi="Calibri"/>
                <w:color w:val="1E1E1E"/>
                <w:sz w:val="17"/>
              </w:rPr>
              <w:t>0.049</w:t>
            </w:r>
          </w:p>
        </w:tc>
        <w:tc>
          <w:tcPr>
            <w:tcW w:type="dxa" w:w="1000"/>
            <w:vAlign w:val="center"/>
          </w:tcPr>
          <w:p>
            <w:pPr>
              <w:spacing w:after="40"/>
            </w:pPr>
            <w:r>
              <w:rPr>
                <w:rFonts w:ascii="Calibri" w:hAnsi="Calibri"/>
                <w:color w:val="1E1E1E"/>
                <w:sz w:val="17"/>
              </w:rPr>
              <w:t>0.373</w:t>
            </w:r>
          </w:p>
        </w:tc>
        <w:tc>
          <w:tcPr>
            <w:tcW w:type="dxa" w:w="1310"/>
            <w:vAlign w:val="center"/>
          </w:tcPr>
          <w:p>
            <w:pPr>
              <w:spacing w:after="40"/>
            </w:pPr>
            <w:r>
              <w:rPr>
                <w:rFonts w:ascii="Calibri" w:hAnsi="Calibri"/>
                <w:color w:val="1E1E1E"/>
                <w:sz w:val="17"/>
              </w:rPr>
              <w:t>4.66</w:t>
            </w:r>
          </w:p>
        </w:tc>
      </w:tr>
      <w:tr>
        <w:trPr>
          <w:cantSplit/>
        </w:trPr>
        <w:tc>
          <w:tcPr>
            <w:tcW w:type="dxa" w:w="950"/>
            <w:vAlign w:val="center"/>
          </w:tcPr>
          <w:p>
            <w:pPr>
              <w:spacing w:after="40"/>
            </w:pPr>
            <w:r>
              <w:rPr>
                <w:rFonts w:ascii="Calibri" w:hAnsi="Calibri"/>
                <w:color w:val="1E1E1E"/>
                <w:sz w:val="17"/>
              </w:rPr>
              <w:t>Pilot</w:t>
            </w:r>
          </w:p>
        </w:tc>
        <w:tc>
          <w:tcPr>
            <w:tcW w:type="dxa" w:w="1100"/>
            <w:vAlign w:val="center"/>
          </w:tcPr>
          <w:p>
            <w:pPr>
              <w:spacing w:after="40"/>
            </w:pPr>
            <w:r>
              <w:rPr>
                <w:rFonts w:ascii="Calibri" w:hAnsi="Calibri"/>
                <w:color w:val="1E1E1E"/>
                <w:sz w:val="17"/>
              </w:rPr>
              <w:t>Hybrid</w:t>
            </w:r>
          </w:p>
        </w:tc>
        <w:tc>
          <w:tcPr>
            <w:tcW w:type="dxa" w:w="2300"/>
            <w:vAlign w:val="center"/>
          </w:tcPr>
          <w:p>
            <w:pPr>
              <w:spacing w:after="40"/>
            </w:pPr>
            <w:r>
              <w:rPr>
                <w:rFonts w:ascii="Calibri" w:hAnsi="Calibri"/>
                <w:color w:val="1E1E1E"/>
                <w:sz w:val="17"/>
              </w:rPr>
              <w:t>Hybrid Per-Label + Best Cap</w:t>
            </w:r>
          </w:p>
        </w:tc>
        <w:tc>
          <w:tcPr>
            <w:tcW w:type="dxa" w:w="1900"/>
            <w:vAlign w:val="center"/>
          </w:tcPr>
          <w:p>
            <w:pPr>
              <w:spacing w:after="40"/>
            </w:pPr>
            <w:r>
              <w:rPr>
                <w:rFonts w:ascii="Calibri" w:hAnsi="Calibri"/>
                <w:color w:val="1E1E1E"/>
                <w:sz w:val="17"/>
              </w:rPr>
              <w:t>Per-label + cap=3</w:t>
            </w:r>
          </w:p>
        </w:tc>
        <w:tc>
          <w:tcPr>
            <w:tcW w:type="dxa" w:w="900"/>
            <w:vAlign w:val="center"/>
          </w:tcPr>
          <w:p>
            <w:pPr>
              <w:spacing w:after="40"/>
            </w:pPr>
            <w:r>
              <w:rPr>
                <w:rFonts w:ascii="Calibri" w:hAnsi="Calibri"/>
                <w:color w:val="1E1E1E"/>
                <w:sz w:val="17"/>
              </w:rPr>
              <w:t>0.377</w:t>
            </w:r>
          </w:p>
        </w:tc>
        <w:tc>
          <w:tcPr>
            <w:tcW w:type="dxa" w:w="900"/>
            <w:vAlign w:val="center"/>
          </w:tcPr>
          <w:p>
            <w:pPr>
              <w:spacing w:after="40"/>
            </w:pPr>
            <w:r>
              <w:rPr>
                <w:rFonts w:ascii="Calibri" w:hAnsi="Calibri"/>
                <w:color w:val="1E1E1E"/>
                <w:sz w:val="17"/>
              </w:rPr>
              <w:t>0.047</w:t>
            </w:r>
          </w:p>
        </w:tc>
        <w:tc>
          <w:tcPr>
            <w:tcW w:type="dxa" w:w="1000"/>
            <w:vAlign w:val="center"/>
          </w:tcPr>
          <w:p>
            <w:pPr>
              <w:spacing w:after="40"/>
            </w:pPr>
            <w:r>
              <w:rPr>
                <w:rFonts w:ascii="Calibri" w:hAnsi="Calibri"/>
                <w:color w:val="1E1E1E"/>
                <w:sz w:val="17"/>
              </w:rPr>
              <w:t>0.380</w:t>
            </w:r>
          </w:p>
        </w:tc>
        <w:tc>
          <w:tcPr>
            <w:tcW w:type="dxa" w:w="1310"/>
            <w:vAlign w:val="center"/>
          </w:tcPr>
          <w:p>
            <w:pPr>
              <w:spacing w:after="40"/>
            </w:pPr>
            <w:r>
              <w:rPr>
                <w:rFonts w:ascii="Calibri" w:hAnsi="Calibri"/>
                <w:color w:val="1E1E1E"/>
                <w:sz w:val="17"/>
              </w:rPr>
              <w:t>3.00</w:t>
            </w:r>
          </w:p>
        </w:tc>
      </w:tr>
      <w:tr>
        <w:trPr>
          <w:cantSplit/>
        </w:trPr>
        <w:tc>
          <w:tcPr>
            <w:tcW w:type="dxa" w:w="950"/>
            <w:vAlign w:val="center"/>
          </w:tcPr>
          <w:p>
            <w:pPr>
              <w:spacing w:after="40"/>
            </w:pPr>
            <w:r>
              <w:rPr>
                <w:rFonts w:ascii="Calibri" w:hAnsi="Calibri"/>
                <w:color w:val="1E1E1E"/>
                <w:sz w:val="17"/>
              </w:rPr>
              <w:t>Expanded</w:t>
            </w:r>
          </w:p>
        </w:tc>
        <w:tc>
          <w:tcPr>
            <w:tcW w:type="dxa" w:w="1100"/>
            <w:vAlign w:val="center"/>
          </w:tcPr>
          <w:p>
            <w:pPr>
              <w:spacing w:after="40"/>
            </w:pPr>
            <w:r>
              <w:rPr>
                <w:rFonts w:ascii="Calibri" w:hAnsi="Calibri"/>
                <w:color w:val="1E1E1E"/>
                <w:sz w:val="17"/>
              </w:rPr>
              <w:t>Structured</w:t>
            </w:r>
          </w:p>
        </w:tc>
        <w:tc>
          <w:tcPr>
            <w:tcW w:type="dxa" w:w="2300"/>
            <w:vAlign w:val="center"/>
          </w:tcPr>
          <w:p>
            <w:pPr>
              <w:spacing w:after="40"/>
            </w:pPr>
            <w:r>
              <w:rPr>
                <w:rFonts w:ascii="Calibri" w:hAnsi="Calibri"/>
                <w:color w:val="1E1E1E"/>
                <w:sz w:val="17"/>
              </w:rPr>
              <w:t>Structured Model on Expanded Audio Split - Test</w:t>
            </w:r>
          </w:p>
        </w:tc>
        <w:tc>
          <w:tcPr>
            <w:tcW w:type="dxa" w:w="1900"/>
            <w:vAlign w:val="center"/>
          </w:tcPr>
          <w:p>
            <w:pPr>
              <w:spacing w:after="40"/>
            </w:pPr>
            <w:r>
              <w:rPr>
                <w:rFonts w:ascii="Calibri" w:hAnsi="Calibri"/>
                <w:color w:val="1E1E1E"/>
                <w:sz w:val="17"/>
              </w:rPr>
              <w:t>Frozen structured model</w:t>
            </w:r>
          </w:p>
        </w:tc>
        <w:tc>
          <w:tcPr>
            <w:tcW w:type="dxa" w:w="900"/>
            <w:vAlign w:val="center"/>
          </w:tcPr>
          <w:p>
            <w:pPr>
              <w:spacing w:after="40"/>
            </w:pPr>
            <w:r>
              <w:rPr>
                <w:rFonts w:ascii="Calibri" w:hAnsi="Calibri"/>
                <w:color w:val="1E1E1E"/>
                <w:sz w:val="17"/>
              </w:rPr>
              <w:t>0.164</w:t>
            </w:r>
          </w:p>
        </w:tc>
        <w:tc>
          <w:tcPr>
            <w:tcW w:type="dxa" w:w="900"/>
            <w:vAlign w:val="center"/>
          </w:tcPr>
          <w:p>
            <w:pPr>
              <w:spacing w:after="40"/>
            </w:pPr>
            <w:r>
              <w:rPr>
                <w:rFonts w:ascii="Calibri" w:hAnsi="Calibri"/>
                <w:color w:val="1E1E1E"/>
                <w:sz w:val="17"/>
              </w:rPr>
              <w:t>0.082</w:t>
            </w:r>
          </w:p>
        </w:tc>
        <w:tc>
          <w:tcPr>
            <w:tcW w:type="dxa" w:w="1000"/>
            <w:vAlign w:val="center"/>
          </w:tcPr>
          <w:p>
            <w:pPr>
              <w:spacing w:after="40"/>
            </w:pPr>
            <w:r>
              <w:rPr>
                <w:rFonts w:ascii="Calibri" w:hAnsi="Calibri"/>
                <w:color w:val="1E1E1E"/>
                <w:sz w:val="17"/>
              </w:rPr>
              <w:t>0.165</w:t>
            </w:r>
          </w:p>
        </w:tc>
        <w:tc>
          <w:tcPr>
            <w:tcW w:type="dxa" w:w="1310"/>
            <w:vAlign w:val="center"/>
          </w:tcPr>
          <w:p>
            <w:pPr>
              <w:spacing w:after="40"/>
            </w:pPr>
            <w:r>
              <w:rPr>
                <w:rFonts w:ascii="Calibri" w:hAnsi="Calibri"/>
                <w:color w:val="1E1E1E"/>
                <w:sz w:val="17"/>
              </w:rPr>
              <w:t>21.83</w:t>
            </w:r>
          </w:p>
        </w:tc>
      </w:tr>
      <w:tr>
        <w:trPr>
          <w:cantSplit/>
        </w:trPr>
        <w:tc>
          <w:tcPr>
            <w:tcW w:type="dxa" w:w="950"/>
            <w:vAlign w:val="center"/>
          </w:tcPr>
          <w:p>
            <w:pPr>
              <w:spacing w:after="40"/>
            </w:pPr>
            <w:r>
              <w:rPr>
                <w:rFonts w:ascii="Calibri" w:hAnsi="Calibri"/>
                <w:color w:val="1E1E1E"/>
                <w:sz w:val="17"/>
              </w:rPr>
              <w:t>Expanded</w:t>
            </w:r>
          </w:p>
        </w:tc>
        <w:tc>
          <w:tcPr>
            <w:tcW w:type="dxa" w:w="1100"/>
            <w:vAlign w:val="center"/>
          </w:tcPr>
          <w:p>
            <w:pPr>
              <w:spacing w:after="40"/>
            </w:pPr>
            <w:r>
              <w:rPr>
                <w:rFonts w:ascii="Calibri" w:hAnsi="Calibri"/>
                <w:color w:val="1E1E1E"/>
                <w:sz w:val="17"/>
              </w:rPr>
              <w:t>Audio</w:t>
            </w:r>
          </w:p>
        </w:tc>
        <w:tc>
          <w:tcPr>
            <w:tcW w:type="dxa" w:w="2300"/>
            <w:vAlign w:val="center"/>
          </w:tcPr>
          <w:p>
            <w:pPr>
              <w:spacing w:after="40"/>
            </w:pPr>
            <w:r>
              <w:rPr>
                <w:rFonts w:ascii="Calibri" w:hAnsi="Calibri"/>
                <w:color w:val="1E1E1E"/>
                <w:sz w:val="17"/>
              </w:rPr>
              <w:t>Expanded Audio CNN - Tuned Threshold</w:t>
            </w:r>
          </w:p>
        </w:tc>
        <w:tc>
          <w:tcPr>
            <w:tcW w:type="dxa" w:w="1900"/>
            <w:vAlign w:val="center"/>
          </w:tcPr>
          <w:p>
            <w:pPr>
              <w:spacing w:after="40"/>
            </w:pPr>
            <w:r>
              <w:rPr>
                <w:rFonts w:ascii="Calibri" w:hAnsi="Calibri"/>
                <w:color w:val="1E1E1E"/>
                <w:sz w:val="17"/>
              </w:rPr>
              <w:t>Global threshold=0.2</w:t>
            </w:r>
          </w:p>
        </w:tc>
        <w:tc>
          <w:tcPr>
            <w:tcW w:type="dxa" w:w="900"/>
            <w:vAlign w:val="center"/>
          </w:tcPr>
          <w:p>
            <w:pPr>
              <w:spacing w:after="40"/>
            </w:pPr>
            <w:r>
              <w:rPr>
                <w:rFonts w:ascii="Calibri" w:hAnsi="Calibri"/>
                <w:color w:val="1E1E1E"/>
                <w:sz w:val="17"/>
              </w:rPr>
              <w:t>0.382</w:t>
            </w:r>
          </w:p>
        </w:tc>
        <w:tc>
          <w:tcPr>
            <w:tcW w:type="dxa" w:w="900"/>
            <w:vAlign w:val="center"/>
          </w:tcPr>
          <w:p>
            <w:pPr>
              <w:spacing w:after="40"/>
            </w:pPr>
            <w:r>
              <w:rPr>
                <w:rFonts w:ascii="Calibri" w:hAnsi="Calibri"/>
                <w:color w:val="1E1E1E"/>
                <w:sz w:val="17"/>
              </w:rPr>
              <w:t>0.041</w:t>
            </w:r>
          </w:p>
        </w:tc>
        <w:tc>
          <w:tcPr>
            <w:tcW w:type="dxa" w:w="1000"/>
            <w:vAlign w:val="center"/>
          </w:tcPr>
          <w:p>
            <w:pPr>
              <w:spacing w:after="40"/>
            </w:pPr>
            <w:r>
              <w:rPr>
                <w:rFonts w:ascii="Calibri" w:hAnsi="Calibri"/>
                <w:color w:val="1E1E1E"/>
                <w:sz w:val="17"/>
              </w:rPr>
              <w:t>0.379</w:t>
            </w:r>
          </w:p>
        </w:tc>
        <w:tc>
          <w:tcPr>
            <w:tcW w:type="dxa" w:w="1310"/>
            <w:vAlign w:val="center"/>
          </w:tcPr>
          <w:p>
            <w:pPr>
              <w:spacing w:after="40"/>
            </w:pPr>
            <w:r>
              <w:rPr>
                <w:rFonts w:ascii="Calibri" w:hAnsi="Calibri"/>
                <w:color w:val="1E1E1E"/>
                <w:sz w:val="17"/>
              </w:rPr>
              <w:t>3.30</w:t>
            </w:r>
          </w:p>
        </w:tc>
      </w:tr>
      <w:tr>
        <w:trPr>
          <w:cantSplit/>
        </w:trPr>
        <w:tc>
          <w:tcPr>
            <w:tcW w:type="dxa" w:w="950"/>
            <w:vAlign w:val="center"/>
          </w:tcPr>
          <w:p>
            <w:pPr>
              <w:spacing w:after="40"/>
            </w:pPr>
            <w:r>
              <w:rPr>
                <w:rFonts w:ascii="Calibri" w:hAnsi="Calibri"/>
                <w:color w:val="1E1E1E"/>
                <w:sz w:val="17"/>
              </w:rPr>
              <w:t>Expanded</w:t>
            </w:r>
          </w:p>
        </w:tc>
        <w:tc>
          <w:tcPr>
            <w:tcW w:type="dxa" w:w="1100"/>
            <w:vAlign w:val="center"/>
          </w:tcPr>
          <w:p>
            <w:pPr>
              <w:spacing w:after="40"/>
            </w:pPr>
            <w:r>
              <w:rPr>
                <w:rFonts w:ascii="Calibri" w:hAnsi="Calibri"/>
                <w:color w:val="1E1E1E"/>
                <w:sz w:val="17"/>
              </w:rPr>
              <w:t>Hybrid</w:t>
            </w:r>
          </w:p>
        </w:tc>
        <w:tc>
          <w:tcPr>
            <w:tcW w:type="dxa" w:w="2300"/>
            <w:vAlign w:val="center"/>
          </w:tcPr>
          <w:p>
            <w:pPr>
              <w:spacing w:after="40"/>
            </w:pPr>
            <w:r>
              <w:rPr>
                <w:rFonts w:ascii="Calibri" w:hAnsi="Calibri"/>
                <w:color w:val="1E1E1E"/>
                <w:sz w:val="17"/>
              </w:rPr>
              <w:t>Expanded Hybrid Global Threshold</w:t>
            </w:r>
          </w:p>
        </w:tc>
        <w:tc>
          <w:tcPr>
            <w:tcW w:type="dxa" w:w="1900"/>
            <w:vAlign w:val="center"/>
          </w:tcPr>
          <w:p>
            <w:pPr>
              <w:spacing w:after="40"/>
            </w:pPr>
            <w:r>
              <w:rPr>
                <w:rFonts w:ascii="Calibri" w:hAnsi="Calibri"/>
                <w:color w:val="1E1E1E"/>
                <w:sz w:val="17"/>
              </w:rPr>
              <w:t>S=0.1, A=0.9, T=0.2</w:t>
            </w:r>
          </w:p>
        </w:tc>
        <w:tc>
          <w:tcPr>
            <w:tcW w:type="dxa" w:w="900"/>
            <w:vAlign w:val="center"/>
          </w:tcPr>
          <w:p>
            <w:pPr>
              <w:spacing w:after="40"/>
            </w:pPr>
            <w:r>
              <w:rPr>
                <w:rFonts w:ascii="Calibri" w:hAnsi="Calibri"/>
                <w:color w:val="1E1E1E"/>
                <w:sz w:val="17"/>
              </w:rPr>
              <w:t>0.391</w:t>
            </w:r>
          </w:p>
        </w:tc>
        <w:tc>
          <w:tcPr>
            <w:tcW w:type="dxa" w:w="900"/>
            <w:vAlign w:val="center"/>
          </w:tcPr>
          <w:p>
            <w:pPr>
              <w:spacing w:after="40"/>
            </w:pPr>
            <w:r>
              <w:rPr>
                <w:rFonts w:ascii="Calibri" w:hAnsi="Calibri"/>
                <w:color w:val="1E1E1E"/>
                <w:sz w:val="17"/>
              </w:rPr>
              <w:t>0.056</w:t>
            </w:r>
          </w:p>
        </w:tc>
        <w:tc>
          <w:tcPr>
            <w:tcW w:type="dxa" w:w="1000"/>
            <w:vAlign w:val="center"/>
          </w:tcPr>
          <w:p>
            <w:pPr>
              <w:spacing w:after="40"/>
            </w:pPr>
            <w:r>
              <w:rPr>
                <w:rFonts w:ascii="Calibri" w:hAnsi="Calibri"/>
                <w:color w:val="1E1E1E"/>
                <w:sz w:val="17"/>
              </w:rPr>
              <w:t>0.387</w:t>
            </w:r>
          </w:p>
        </w:tc>
        <w:tc>
          <w:tcPr>
            <w:tcW w:type="dxa" w:w="1310"/>
            <w:vAlign w:val="center"/>
          </w:tcPr>
          <w:p>
            <w:pPr>
              <w:spacing w:after="40"/>
            </w:pPr>
            <w:r>
              <w:rPr>
                <w:rFonts w:ascii="Calibri" w:hAnsi="Calibri"/>
                <w:color w:val="1E1E1E"/>
                <w:sz w:val="17"/>
              </w:rPr>
              <w:t>4.72</w:t>
            </w:r>
          </w:p>
        </w:tc>
      </w:tr>
      <w:tr>
        <w:trPr>
          <w:cantSplit/>
        </w:trPr>
        <w:tc>
          <w:tcPr>
            <w:tcW w:type="dxa" w:w="950"/>
            <w:vAlign w:val="center"/>
          </w:tcPr>
          <w:p>
            <w:pPr>
              <w:spacing w:after="40"/>
            </w:pPr>
            <w:r>
              <w:rPr>
                <w:rFonts w:ascii="Calibri" w:hAnsi="Calibri"/>
                <w:color w:val="1E1E1E"/>
                <w:sz w:val="17"/>
              </w:rPr>
              <w:t>Expanded</w:t>
            </w:r>
          </w:p>
        </w:tc>
        <w:tc>
          <w:tcPr>
            <w:tcW w:type="dxa" w:w="1100"/>
            <w:vAlign w:val="center"/>
          </w:tcPr>
          <w:p>
            <w:pPr>
              <w:spacing w:after="40"/>
            </w:pPr>
            <w:r>
              <w:rPr>
                <w:rFonts w:ascii="Calibri" w:hAnsi="Calibri"/>
                <w:color w:val="1E1E1E"/>
                <w:sz w:val="17"/>
              </w:rPr>
              <w:t>Hybrid</w:t>
            </w:r>
          </w:p>
        </w:tc>
        <w:tc>
          <w:tcPr>
            <w:tcW w:type="dxa" w:w="2300"/>
            <w:vAlign w:val="center"/>
          </w:tcPr>
          <w:p>
            <w:pPr>
              <w:spacing w:after="40"/>
            </w:pPr>
            <w:r>
              <w:rPr>
                <w:rFonts w:ascii="Calibri" w:hAnsi="Calibri"/>
                <w:color w:val="1E1E1E"/>
                <w:sz w:val="17"/>
              </w:rPr>
              <w:t>Expanded Hybrid Per-Label + Best Cap</w:t>
            </w:r>
          </w:p>
        </w:tc>
        <w:tc>
          <w:tcPr>
            <w:tcW w:type="dxa" w:w="1900"/>
            <w:vAlign w:val="center"/>
          </w:tcPr>
          <w:p>
            <w:pPr>
              <w:spacing w:after="40"/>
            </w:pPr>
            <w:r>
              <w:rPr>
                <w:rFonts w:ascii="Calibri" w:hAnsi="Calibri"/>
                <w:color w:val="1E1E1E"/>
                <w:sz w:val="17"/>
              </w:rPr>
              <w:t>Per-label + cap=3</w:t>
            </w:r>
          </w:p>
        </w:tc>
        <w:tc>
          <w:tcPr>
            <w:tcW w:type="dxa" w:w="900"/>
            <w:vAlign w:val="center"/>
          </w:tcPr>
          <w:p>
            <w:pPr>
              <w:spacing w:after="40"/>
            </w:pPr>
            <w:r>
              <w:rPr>
                <w:rFonts w:ascii="Calibri" w:hAnsi="Calibri"/>
                <w:color w:val="1E1E1E"/>
                <w:sz w:val="17"/>
              </w:rPr>
              <w:t>0.376</w:t>
            </w:r>
          </w:p>
        </w:tc>
        <w:tc>
          <w:tcPr>
            <w:tcW w:type="dxa" w:w="900"/>
            <w:vAlign w:val="center"/>
          </w:tcPr>
          <w:p>
            <w:pPr>
              <w:spacing w:after="40"/>
            </w:pPr>
            <w:r>
              <w:rPr>
                <w:rFonts w:ascii="Calibri" w:hAnsi="Calibri"/>
                <w:color w:val="1E1E1E"/>
                <w:sz w:val="17"/>
              </w:rPr>
              <w:t>0.045</w:t>
            </w:r>
          </w:p>
        </w:tc>
        <w:tc>
          <w:tcPr>
            <w:tcW w:type="dxa" w:w="1000"/>
            <w:vAlign w:val="center"/>
          </w:tcPr>
          <w:p>
            <w:pPr>
              <w:spacing w:after="40"/>
            </w:pPr>
            <w:r>
              <w:rPr>
                <w:rFonts w:ascii="Calibri" w:hAnsi="Calibri"/>
                <w:color w:val="1E1E1E"/>
                <w:sz w:val="17"/>
              </w:rPr>
              <w:t>0.377</w:t>
            </w:r>
          </w:p>
        </w:tc>
        <w:tc>
          <w:tcPr>
            <w:tcW w:type="dxa" w:w="1310"/>
            <w:vAlign w:val="center"/>
          </w:tcPr>
          <w:p>
            <w:pPr>
              <w:spacing w:after="40"/>
            </w:pPr>
            <w:r>
              <w:rPr>
                <w:rFonts w:ascii="Calibri" w:hAnsi="Calibri"/>
                <w:color w:val="1E1E1E"/>
                <w:sz w:val="17"/>
              </w:rPr>
              <w:t>3.00</w:t>
            </w:r>
          </w:p>
        </w:tc>
      </w:tr>
    </w:tbl>
    <w:p>
      <w:pPr>
        <w:spacing w:before="0" w:after="80"/>
      </w:pPr>
    </w:p>
    <w:p>
      <w:pPr>
        <w:pStyle w:val="Heading1"/>
      </w:pPr>
      <w:r>
        <w:t>9. Formal FMA Test Evaluation: Notebook 49</w:t>
      </w:r>
    </w:p>
    <w:p>
      <w:r>
        <w:t>Notebook 49 is the formal FMA test-split evaluation. This notebook matters because it uses corrected split selection and audio preprocessing. It processed 100 tracks, produced zero errors, and evaluated 150 labels. Earlier empty-selection behaviour would have made this stage invalid, so the corrected record selection is part of the final result.</w:t>
      </w:r>
    </w:p>
    <w:p>
      <w:pPr/>
      <w:r>
        <w:t>The Notebook 49 metrics table is best interpreted as internal test evidence. The Micro F1 and Samples F1 values show useful multi-label performance, while the low Macro F1 confirms that sparse labels remained difficult. This combination is consistent with the class imbalance seen earlier in the project.</w:t>
      </w:r>
    </w:p>
    <w:tbl>
      <w:tblPr>
        <w:tblStyle w:val="TableGrid"/>
        <w:tblW w:type="dxa" w:w="9360"/>
        <w:tblLook w:firstColumn="1" w:firstRow="1" w:lastColumn="0" w:lastRow="0" w:noHBand="0" w:noVBand="1" w:val="04A0"/>
        <w:tblInd w:type="dxa" w:w="120"/>
      </w:tblPr>
      <w:tblGrid>
        <w:gridCol w:w="1800"/>
        <w:gridCol w:w="1800"/>
        <w:gridCol w:w="1800"/>
        <w:gridCol w:w="1800"/>
        <w:gridCol w:w="2160"/>
      </w:tblGrid>
      <w:tr>
        <w:trPr>
          <w:cantSplit/>
          <w:tblHeader/>
        </w:trPr>
        <w:tc>
          <w:tcPr>
            <w:tcW w:type="dxa" w:w="1800"/>
            <w:shd w:fill="1F4D78"/>
            <w:vAlign w:val="center"/>
          </w:tcPr>
          <w:p>
            <w:pPr>
              <w:spacing w:after="40"/>
              <w:jc w:val="center"/>
            </w:pPr>
            <w:r>
              <w:rPr>
                <w:rFonts w:ascii="Calibri" w:hAnsi="Calibri"/>
                <w:b/>
                <w:color w:val="FFFFFF"/>
                <w:sz w:val="18"/>
              </w:rPr>
              <w:t>Metric group</w:t>
            </w:r>
          </w:p>
        </w:tc>
        <w:tc>
          <w:tcPr>
            <w:tcW w:type="dxa" w:w="1800"/>
            <w:shd w:fill="1F4D78"/>
            <w:vAlign w:val="center"/>
          </w:tcPr>
          <w:p>
            <w:pPr>
              <w:spacing w:after="40"/>
              <w:jc w:val="center"/>
            </w:pPr>
            <w:r>
              <w:rPr>
                <w:rFonts w:ascii="Calibri" w:hAnsi="Calibri"/>
                <w:b/>
                <w:color w:val="FFFFFF"/>
                <w:sz w:val="18"/>
              </w:rPr>
              <w:t>Precision</w:t>
            </w:r>
          </w:p>
        </w:tc>
        <w:tc>
          <w:tcPr>
            <w:tcW w:type="dxa" w:w="1800"/>
            <w:shd w:fill="1F4D78"/>
            <w:vAlign w:val="center"/>
          </w:tcPr>
          <w:p>
            <w:pPr>
              <w:spacing w:after="40"/>
              <w:jc w:val="center"/>
            </w:pPr>
            <w:r>
              <w:rPr>
                <w:rFonts w:ascii="Calibri" w:hAnsi="Calibri"/>
                <w:b/>
                <w:color w:val="FFFFFF"/>
                <w:sz w:val="18"/>
              </w:rPr>
              <w:t>Recall</w:t>
            </w:r>
          </w:p>
        </w:tc>
        <w:tc>
          <w:tcPr>
            <w:tcW w:type="dxa" w:w="1800"/>
            <w:shd w:fill="1F4D78"/>
            <w:vAlign w:val="center"/>
          </w:tcPr>
          <w:p>
            <w:pPr>
              <w:spacing w:after="40"/>
              <w:jc w:val="center"/>
            </w:pPr>
            <w:r>
              <w:rPr>
                <w:rFonts w:ascii="Calibri" w:hAnsi="Calibri"/>
                <w:b/>
                <w:color w:val="FFFFFF"/>
                <w:sz w:val="18"/>
              </w:rPr>
              <w:t>F1</w:t>
            </w:r>
          </w:p>
        </w:tc>
        <w:tc>
          <w:tcPr>
            <w:tcW w:type="dxa" w:w="2160"/>
            <w:shd w:fill="1F4D78"/>
            <w:vAlign w:val="center"/>
          </w:tcPr>
          <w:p>
            <w:pPr>
              <w:spacing w:after="40"/>
              <w:jc w:val="center"/>
            </w:pPr>
            <w:r>
              <w:rPr>
                <w:rFonts w:ascii="Calibri" w:hAnsi="Calibri"/>
                <w:b/>
                <w:color w:val="FFFFFF"/>
                <w:sz w:val="18"/>
              </w:rPr>
              <w:t>Support</w:t>
            </w:r>
          </w:p>
        </w:tc>
      </w:tr>
      <w:tr>
        <w:trPr>
          <w:cantSplit/>
        </w:trPr>
        <w:tc>
          <w:tcPr>
            <w:tcW w:type="dxa" w:w="1800"/>
            <w:vAlign w:val="center"/>
          </w:tcPr>
          <w:p>
            <w:pPr>
              <w:spacing w:after="40"/>
            </w:pPr>
            <w:r>
              <w:rPr>
                <w:rFonts w:ascii="Calibri" w:hAnsi="Calibri"/>
                <w:color w:val="1E1E1E"/>
                <w:sz w:val="17"/>
              </w:rPr>
              <w:t>micro</w:t>
            </w:r>
          </w:p>
        </w:tc>
        <w:tc>
          <w:tcPr>
            <w:tcW w:type="dxa" w:w="1800"/>
            <w:vAlign w:val="center"/>
          </w:tcPr>
          <w:p>
            <w:pPr>
              <w:spacing w:after="40"/>
            </w:pPr>
            <w:r>
              <w:rPr>
                <w:rFonts w:ascii="Calibri" w:hAnsi="Calibri"/>
                <w:color w:val="1E1E1E"/>
                <w:sz w:val="17"/>
              </w:rPr>
              <w:t>0.374</w:t>
            </w:r>
          </w:p>
        </w:tc>
        <w:tc>
          <w:tcPr>
            <w:tcW w:type="dxa" w:w="1800"/>
            <w:vAlign w:val="center"/>
          </w:tcPr>
          <w:p>
            <w:pPr>
              <w:spacing w:after="40"/>
            </w:pPr>
            <w:r>
              <w:rPr>
                <w:rFonts w:ascii="Calibri" w:hAnsi="Calibri"/>
                <w:color w:val="1E1E1E"/>
                <w:sz w:val="17"/>
              </w:rPr>
              <w:t>0.566</w:t>
            </w:r>
          </w:p>
        </w:tc>
        <w:tc>
          <w:tcPr>
            <w:tcW w:type="dxa" w:w="1800"/>
            <w:vAlign w:val="center"/>
          </w:tcPr>
          <w:p>
            <w:pPr>
              <w:spacing w:after="40"/>
            </w:pPr>
            <w:r>
              <w:rPr>
                <w:rFonts w:ascii="Calibri" w:hAnsi="Calibri"/>
                <w:color w:val="1E1E1E"/>
                <w:sz w:val="17"/>
              </w:rPr>
              <w:t>0.450</w:t>
            </w:r>
          </w:p>
        </w:tc>
        <w:tc>
          <w:tcPr>
            <w:tcW w:type="dxa" w:w="2160"/>
            <w:vAlign w:val="center"/>
          </w:tcPr>
          <w:p>
            <w:pPr>
              <w:spacing w:after="40"/>
            </w:pPr>
            <w:r>
              <w:rPr>
                <w:rFonts w:ascii="Calibri" w:hAnsi="Calibri"/>
                <w:color w:val="1E1E1E"/>
                <w:sz w:val="17"/>
              </w:rPr>
              <w:t>295</w:t>
            </w:r>
          </w:p>
        </w:tc>
      </w:tr>
      <w:tr>
        <w:trPr>
          <w:cantSplit/>
        </w:trPr>
        <w:tc>
          <w:tcPr>
            <w:tcW w:type="dxa" w:w="1800"/>
            <w:vAlign w:val="center"/>
          </w:tcPr>
          <w:p>
            <w:pPr>
              <w:spacing w:after="40"/>
            </w:pPr>
            <w:r>
              <w:rPr>
                <w:rFonts w:ascii="Calibri" w:hAnsi="Calibri"/>
                <w:color w:val="1E1E1E"/>
                <w:sz w:val="17"/>
              </w:rPr>
              <w:t>macro</w:t>
            </w:r>
          </w:p>
        </w:tc>
        <w:tc>
          <w:tcPr>
            <w:tcW w:type="dxa" w:w="1800"/>
            <w:vAlign w:val="center"/>
          </w:tcPr>
          <w:p>
            <w:pPr>
              <w:spacing w:after="40"/>
            </w:pPr>
            <w:r>
              <w:rPr>
                <w:rFonts w:ascii="Calibri" w:hAnsi="Calibri"/>
                <w:color w:val="1E1E1E"/>
                <w:sz w:val="17"/>
              </w:rPr>
              <w:t>0.047</w:t>
            </w:r>
          </w:p>
        </w:tc>
        <w:tc>
          <w:tcPr>
            <w:tcW w:type="dxa" w:w="1800"/>
            <w:vAlign w:val="center"/>
          </w:tcPr>
          <w:p>
            <w:pPr>
              <w:spacing w:after="40"/>
            </w:pPr>
            <w:r>
              <w:rPr>
                <w:rFonts w:ascii="Calibri" w:hAnsi="Calibri"/>
                <w:color w:val="1E1E1E"/>
                <w:sz w:val="17"/>
              </w:rPr>
              <w:t>0.077</w:t>
            </w:r>
          </w:p>
        </w:tc>
        <w:tc>
          <w:tcPr>
            <w:tcW w:type="dxa" w:w="1800"/>
            <w:vAlign w:val="center"/>
          </w:tcPr>
          <w:p>
            <w:pPr>
              <w:spacing w:after="40"/>
            </w:pPr>
            <w:r>
              <w:rPr>
                <w:rFonts w:ascii="Calibri" w:hAnsi="Calibri"/>
                <w:color w:val="1E1E1E"/>
                <w:sz w:val="17"/>
              </w:rPr>
              <w:t>0.052</w:t>
            </w:r>
          </w:p>
        </w:tc>
        <w:tc>
          <w:tcPr>
            <w:tcW w:type="dxa" w:w="2160"/>
            <w:vAlign w:val="center"/>
          </w:tcPr>
          <w:p>
            <w:pPr>
              <w:spacing w:after="40"/>
            </w:pPr>
            <w:r>
              <w:rPr>
                <w:rFonts w:ascii="Calibri" w:hAnsi="Calibri"/>
                <w:color w:val="1E1E1E"/>
                <w:sz w:val="17"/>
              </w:rPr>
              <w:t>295</w:t>
            </w:r>
          </w:p>
        </w:tc>
      </w:tr>
      <w:tr>
        <w:trPr>
          <w:cantSplit/>
        </w:trPr>
        <w:tc>
          <w:tcPr>
            <w:tcW w:type="dxa" w:w="1800"/>
            <w:vAlign w:val="center"/>
          </w:tcPr>
          <w:p>
            <w:pPr>
              <w:spacing w:after="40"/>
            </w:pPr>
            <w:r>
              <w:rPr>
                <w:rFonts w:ascii="Calibri" w:hAnsi="Calibri"/>
                <w:color w:val="1E1E1E"/>
                <w:sz w:val="17"/>
              </w:rPr>
              <w:t>samples</w:t>
            </w:r>
          </w:p>
        </w:tc>
        <w:tc>
          <w:tcPr>
            <w:tcW w:type="dxa" w:w="1800"/>
            <w:vAlign w:val="center"/>
          </w:tcPr>
          <w:p>
            <w:pPr>
              <w:spacing w:after="40"/>
            </w:pPr>
            <w:r>
              <w:rPr>
                <w:rFonts w:ascii="Calibri" w:hAnsi="Calibri"/>
                <w:color w:val="1E1E1E"/>
                <w:sz w:val="17"/>
              </w:rPr>
              <w:t>0.389</w:t>
            </w:r>
          </w:p>
        </w:tc>
        <w:tc>
          <w:tcPr>
            <w:tcW w:type="dxa" w:w="1800"/>
            <w:vAlign w:val="center"/>
          </w:tcPr>
          <w:p>
            <w:pPr>
              <w:spacing w:after="40"/>
            </w:pPr>
            <w:r>
              <w:rPr>
                <w:rFonts w:ascii="Calibri" w:hAnsi="Calibri"/>
                <w:color w:val="1E1E1E"/>
                <w:sz w:val="17"/>
              </w:rPr>
              <w:t>0.645</w:t>
            </w:r>
          </w:p>
        </w:tc>
        <w:tc>
          <w:tcPr>
            <w:tcW w:type="dxa" w:w="1800"/>
            <w:vAlign w:val="center"/>
          </w:tcPr>
          <w:p>
            <w:pPr>
              <w:spacing w:after="40"/>
            </w:pPr>
            <w:r>
              <w:rPr>
                <w:rFonts w:ascii="Calibri" w:hAnsi="Calibri"/>
                <w:color w:val="1E1E1E"/>
                <w:sz w:val="17"/>
              </w:rPr>
              <w:t>0.445</w:t>
            </w:r>
          </w:p>
        </w:tc>
        <w:tc>
          <w:tcPr>
            <w:tcW w:type="dxa" w:w="2160"/>
            <w:vAlign w:val="center"/>
          </w:tcPr>
          <w:p>
            <w:pPr>
              <w:spacing w:after="40"/>
            </w:pPr>
            <w:r>
              <w:rPr>
                <w:rFonts w:ascii="Calibri" w:hAnsi="Calibri"/>
                <w:color w:val="1E1E1E"/>
                <w:sz w:val="17"/>
              </w:rPr>
              <w:t>100</w:t>
            </w:r>
          </w:p>
        </w:tc>
      </w:tr>
    </w:tbl>
    <w:p>
      <w:pPr>
        <w:spacing w:before="0" w:after="80"/>
      </w:pPr>
    </w:p>
    <w:tbl>
      <w:tblPr>
        <w:tblStyle w:val="TableGrid"/>
        <w:tblW w:type="dxa" w:w="9360"/>
        <w:tblLook w:firstColumn="1" w:firstRow="1" w:lastColumn="0" w:lastRow="0" w:noHBand="0" w:noVBand="1" w:val="04A0"/>
        <w:tblInd w:type="dxa" w:w="120"/>
      </w:tblPr>
      <w:tblGrid>
        <w:gridCol w:w="4200"/>
        <w:gridCol w:w="5160"/>
      </w:tblGrid>
      <w:tr>
        <w:trPr>
          <w:cantSplit/>
          <w:tblHeader/>
        </w:trPr>
        <w:tc>
          <w:tcPr>
            <w:tcW w:type="dxa" w:w="4200"/>
            <w:shd w:fill="1F4D78"/>
            <w:vAlign w:val="center"/>
          </w:tcPr>
          <w:p>
            <w:pPr>
              <w:spacing w:after="40"/>
              <w:jc w:val="center"/>
            </w:pPr>
            <w:r>
              <w:rPr>
                <w:rFonts w:ascii="Calibri" w:hAnsi="Calibri"/>
                <w:b/>
                <w:color w:val="FFFFFF"/>
                <w:sz w:val="18"/>
              </w:rPr>
              <w:t>Additional Notebook 49 metric</w:t>
            </w:r>
          </w:p>
        </w:tc>
        <w:tc>
          <w:tcPr>
            <w:tcW w:type="dxa" w:w="5160"/>
            <w:shd w:fill="1F4D78"/>
            <w:vAlign w:val="center"/>
          </w:tcPr>
          <w:p>
            <w:pPr>
              <w:spacing w:after="40"/>
              <w:jc w:val="center"/>
            </w:pPr>
            <w:r>
              <w:rPr>
                <w:rFonts w:ascii="Calibri" w:hAnsi="Calibri"/>
                <w:b/>
                <w:color w:val="FFFFFF"/>
                <w:sz w:val="18"/>
              </w:rPr>
              <w:t>Value</w:t>
            </w:r>
          </w:p>
        </w:tc>
      </w:tr>
      <w:tr>
        <w:trPr>
          <w:cantSplit/>
        </w:trPr>
        <w:tc>
          <w:tcPr>
            <w:tcW w:type="dxa" w:w="4200"/>
            <w:vAlign w:val="center"/>
          </w:tcPr>
          <w:p>
            <w:pPr>
              <w:spacing w:after="40"/>
            </w:pPr>
            <w:r>
              <w:rPr>
                <w:rFonts w:ascii="Calibri" w:hAnsi="Calibri"/>
                <w:color w:val="1E1E1E"/>
                <w:sz w:val="17"/>
              </w:rPr>
              <w:t>Successful tracks</w:t>
            </w:r>
          </w:p>
        </w:tc>
        <w:tc>
          <w:tcPr>
            <w:tcW w:type="dxa" w:w="5160"/>
            <w:vAlign w:val="center"/>
          </w:tcPr>
          <w:p>
            <w:pPr>
              <w:spacing w:after="40"/>
            </w:pPr>
            <w:r>
              <w:rPr>
                <w:rFonts w:ascii="Calibri" w:hAnsi="Calibri"/>
                <w:color w:val="1E1E1E"/>
                <w:sz w:val="17"/>
              </w:rPr>
              <w:t>100</w:t>
            </w:r>
          </w:p>
        </w:tc>
      </w:tr>
      <w:tr>
        <w:trPr>
          <w:cantSplit/>
        </w:trPr>
        <w:tc>
          <w:tcPr>
            <w:tcW w:type="dxa" w:w="4200"/>
            <w:vAlign w:val="center"/>
          </w:tcPr>
          <w:p>
            <w:pPr>
              <w:spacing w:after="40"/>
            </w:pPr>
            <w:r>
              <w:rPr>
                <w:rFonts w:ascii="Calibri" w:hAnsi="Calibri"/>
                <w:color w:val="1E1E1E"/>
                <w:sz w:val="17"/>
              </w:rPr>
              <w:t>Error tracks</w:t>
            </w:r>
          </w:p>
        </w:tc>
        <w:tc>
          <w:tcPr>
            <w:tcW w:type="dxa" w:w="5160"/>
            <w:vAlign w:val="center"/>
          </w:tcPr>
          <w:p>
            <w:pPr>
              <w:spacing w:after="40"/>
            </w:pPr>
            <w:r>
              <w:rPr>
                <w:rFonts w:ascii="Calibri" w:hAnsi="Calibri"/>
                <w:color w:val="1E1E1E"/>
                <w:sz w:val="17"/>
              </w:rPr>
              <w:t>0</w:t>
            </w:r>
          </w:p>
        </w:tc>
      </w:tr>
      <w:tr>
        <w:trPr>
          <w:cantSplit/>
        </w:trPr>
        <w:tc>
          <w:tcPr>
            <w:tcW w:type="dxa" w:w="4200"/>
            <w:vAlign w:val="center"/>
          </w:tcPr>
          <w:p>
            <w:pPr>
              <w:spacing w:after="40"/>
            </w:pPr>
            <w:r>
              <w:rPr>
                <w:rFonts w:ascii="Calibri" w:hAnsi="Calibri"/>
                <w:color w:val="1E1E1E"/>
                <w:sz w:val="17"/>
              </w:rPr>
              <w:t>Stage 1 threshold</w:t>
            </w:r>
          </w:p>
        </w:tc>
        <w:tc>
          <w:tcPr>
            <w:tcW w:type="dxa" w:w="5160"/>
            <w:vAlign w:val="center"/>
          </w:tcPr>
          <w:p>
            <w:pPr>
              <w:spacing w:after="40"/>
            </w:pPr>
            <w:r>
              <w:rPr>
                <w:rFonts w:ascii="Calibri" w:hAnsi="Calibri"/>
                <w:color w:val="1E1E1E"/>
                <w:sz w:val="17"/>
              </w:rPr>
              <w:t>0.2</w:t>
            </w:r>
          </w:p>
        </w:tc>
      </w:tr>
      <w:tr>
        <w:trPr>
          <w:cantSplit/>
        </w:trPr>
        <w:tc>
          <w:tcPr>
            <w:tcW w:type="dxa" w:w="4200"/>
            <w:vAlign w:val="center"/>
          </w:tcPr>
          <w:p>
            <w:pPr>
              <w:spacing w:after="40"/>
            </w:pPr>
            <w:r>
              <w:rPr>
                <w:rFonts w:ascii="Calibri" w:hAnsi="Calibri"/>
                <w:color w:val="1E1E1E"/>
                <w:sz w:val="17"/>
              </w:rPr>
              <w:t>Hamming loss</w:t>
            </w:r>
          </w:p>
        </w:tc>
        <w:tc>
          <w:tcPr>
            <w:tcW w:type="dxa" w:w="5160"/>
            <w:vAlign w:val="center"/>
          </w:tcPr>
          <w:p>
            <w:pPr>
              <w:spacing w:after="40"/>
            </w:pPr>
            <w:r>
              <w:rPr>
                <w:rFonts w:ascii="Calibri" w:hAnsi="Calibri"/>
                <w:color w:val="1E1E1E"/>
                <w:sz w:val="17"/>
              </w:rPr>
              <w:t>0.0272</w:t>
            </w:r>
          </w:p>
        </w:tc>
      </w:tr>
      <w:tr>
        <w:trPr>
          <w:cantSplit/>
        </w:trPr>
        <w:tc>
          <w:tcPr>
            <w:tcW w:type="dxa" w:w="4200"/>
            <w:vAlign w:val="center"/>
          </w:tcPr>
          <w:p>
            <w:pPr>
              <w:spacing w:after="40"/>
            </w:pPr>
            <w:r>
              <w:rPr>
                <w:rFonts w:ascii="Calibri" w:hAnsi="Calibri"/>
                <w:color w:val="1E1E1E"/>
                <w:sz w:val="17"/>
              </w:rPr>
              <w:t>Jaccard samples</w:t>
            </w:r>
          </w:p>
        </w:tc>
        <w:tc>
          <w:tcPr>
            <w:tcW w:type="dxa" w:w="5160"/>
            <w:vAlign w:val="center"/>
          </w:tcPr>
          <w:p>
            <w:pPr>
              <w:spacing w:after="40"/>
            </w:pPr>
            <w:r>
              <w:rPr>
                <w:rFonts w:ascii="Calibri" w:hAnsi="Calibri"/>
                <w:color w:val="1E1E1E"/>
                <w:sz w:val="17"/>
              </w:rPr>
              <w:t>0.301</w:t>
            </w:r>
          </w:p>
        </w:tc>
      </w:tr>
      <w:tr>
        <w:trPr>
          <w:cantSplit/>
        </w:trPr>
        <w:tc>
          <w:tcPr>
            <w:tcW w:type="dxa" w:w="4200"/>
            <w:vAlign w:val="center"/>
          </w:tcPr>
          <w:p>
            <w:pPr>
              <w:spacing w:after="40"/>
            </w:pPr>
            <w:r>
              <w:rPr>
                <w:rFonts w:ascii="Calibri" w:hAnsi="Calibri"/>
                <w:color w:val="1E1E1E"/>
                <w:sz w:val="17"/>
              </w:rPr>
              <w:t>Low-confidence cases</w:t>
            </w:r>
          </w:p>
        </w:tc>
        <w:tc>
          <w:tcPr>
            <w:tcW w:type="dxa" w:w="5160"/>
            <w:vAlign w:val="center"/>
          </w:tcPr>
          <w:p>
            <w:pPr>
              <w:spacing w:after="40"/>
            </w:pPr>
            <w:r>
              <w:rPr>
                <w:rFonts w:ascii="Calibri" w:hAnsi="Calibri"/>
                <w:color w:val="1E1E1E"/>
                <w:sz w:val="17"/>
              </w:rPr>
              <w:t>12</w:t>
            </w:r>
          </w:p>
        </w:tc>
      </w:tr>
      <w:tr>
        <w:trPr>
          <w:cantSplit/>
        </w:trPr>
        <w:tc>
          <w:tcPr>
            <w:tcW w:type="dxa" w:w="4200"/>
            <w:vAlign w:val="center"/>
          </w:tcPr>
          <w:p>
            <w:pPr>
              <w:spacing w:after="40"/>
            </w:pPr>
            <w:r>
              <w:rPr>
                <w:rFonts w:ascii="Calibri" w:hAnsi="Calibri"/>
                <w:color w:val="1E1E1E"/>
                <w:sz w:val="17"/>
              </w:rPr>
              <w:t>Top-1 hit-any</w:t>
            </w:r>
          </w:p>
        </w:tc>
        <w:tc>
          <w:tcPr>
            <w:tcW w:type="dxa" w:w="5160"/>
            <w:vAlign w:val="center"/>
          </w:tcPr>
          <w:p>
            <w:pPr>
              <w:spacing w:after="40"/>
            </w:pPr>
            <w:r>
              <w:rPr>
                <w:rFonts w:ascii="Calibri" w:hAnsi="Calibri"/>
                <w:color w:val="1E1E1E"/>
                <w:sz w:val="17"/>
              </w:rPr>
              <w:t>72.0%</w:t>
            </w:r>
          </w:p>
        </w:tc>
      </w:tr>
      <w:tr>
        <w:trPr>
          <w:cantSplit/>
        </w:trPr>
        <w:tc>
          <w:tcPr>
            <w:tcW w:type="dxa" w:w="4200"/>
            <w:vAlign w:val="center"/>
          </w:tcPr>
          <w:p>
            <w:pPr>
              <w:spacing w:after="40"/>
            </w:pPr>
            <w:r>
              <w:rPr>
                <w:rFonts w:ascii="Calibri" w:hAnsi="Calibri"/>
                <w:color w:val="1E1E1E"/>
                <w:sz w:val="17"/>
              </w:rPr>
              <w:t>Top-3 hit-any</w:t>
            </w:r>
          </w:p>
        </w:tc>
        <w:tc>
          <w:tcPr>
            <w:tcW w:type="dxa" w:w="5160"/>
            <w:vAlign w:val="center"/>
          </w:tcPr>
          <w:p>
            <w:pPr>
              <w:spacing w:after="40"/>
            </w:pPr>
            <w:r>
              <w:rPr>
                <w:rFonts w:ascii="Calibri" w:hAnsi="Calibri"/>
                <w:color w:val="1E1E1E"/>
                <w:sz w:val="17"/>
              </w:rPr>
              <w:t>98.0%</w:t>
            </w:r>
          </w:p>
        </w:tc>
      </w:tr>
      <w:tr>
        <w:trPr>
          <w:cantSplit/>
        </w:trPr>
        <w:tc>
          <w:tcPr>
            <w:tcW w:type="dxa" w:w="4200"/>
            <w:vAlign w:val="center"/>
          </w:tcPr>
          <w:p>
            <w:pPr>
              <w:spacing w:after="40"/>
            </w:pPr>
            <w:r>
              <w:rPr>
                <w:rFonts w:ascii="Calibri" w:hAnsi="Calibri"/>
                <w:color w:val="1E1E1E"/>
                <w:sz w:val="17"/>
              </w:rPr>
              <w:t>Top-5 hit-any</w:t>
            </w:r>
          </w:p>
        </w:tc>
        <w:tc>
          <w:tcPr>
            <w:tcW w:type="dxa" w:w="5160"/>
            <w:vAlign w:val="center"/>
          </w:tcPr>
          <w:p>
            <w:pPr>
              <w:spacing w:after="40"/>
            </w:pPr>
            <w:r>
              <w:rPr>
                <w:rFonts w:ascii="Calibri" w:hAnsi="Calibri"/>
                <w:color w:val="1E1E1E"/>
                <w:sz w:val="17"/>
              </w:rPr>
              <w:t>99.0%</w:t>
            </w:r>
          </w:p>
        </w:tc>
      </w:tr>
    </w:tbl>
    <w:p>
      <w:pPr>
        <w:spacing w:before="0" w:after="80"/>
      </w:pPr>
    </w:p>
    <w:p>
      <w:pPr>
        <w:pStyle w:val="Heading2"/>
      </w:pPr>
      <w:r>
        <w:t>9.1 Per-Label Findings</w:t>
      </w:r>
    </w:p>
    <w:tbl>
      <w:tblPr>
        <w:tblStyle w:val="TableGrid"/>
        <w:tblW w:type="dxa" w:w="9360"/>
        <w:tblLook w:firstColumn="1" w:firstRow="1" w:lastColumn="0" w:lastRow="0" w:noHBand="0" w:noVBand="1" w:val="04A0"/>
        <w:tblInd w:type="dxa" w:w="120"/>
      </w:tblPr>
      <w:tblGrid>
        <w:gridCol w:w="2100"/>
        <w:gridCol w:w="1800"/>
        <w:gridCol w:w="1800"/>
        <w:gridCol w:w="1800"/>
        <w:gridCol w:w="1860"/>
      </w:tblGrid>
      <w:tr>
        <w:trPr>
          <w:cantSplit/>
          <w:tblHeader/>
        </w:trPr>
        <w:tc>
          <w:tcPr>
            <w:tcW w:type="dxa" w:w="2100"/>
            <w:shd w:fill="1F4D78"/>
            <w:vAlign w:val="center"/>
          </w:tcPr>
          <w:p>
            <w:pPr>
              <w:spacing w:after="40"/>
              <w:jc w:val="center"/>
            </w:pPr>
            <w:r>
              <w:rPr>
                <w:rFonts w:ascii="Calibri" w:hAnsi="Calibri"/>
                <w:b/>
                <w:color w:val="FFFFFF"/>
                <w:sz w:val="18"/>
              </w:rPr>
              <w:t>Label</w:t>
            </w:r>
          </w:p>
        </w:tc>
        <w:tc>
          <w:tcPr>
            <w:tcW w:type="dxa" w:w="1800"/>
            <w:shd w:fill="1F4D78"/>
            <w:vAlign w:val="center"/>
          </w:tcPr>
          <w:p>
            <w:pPr>
              <w:spacing w:after="40"/>
              <w:jc w:val="center"/>
            </w:pPr>
            <w:r>
              <w:rPr>
                <w:rFonts w:ascii="Calibri" w:hAnsi="Calibri"/>
                <w:b/>
                <w:color w:val="FFFFFF"/>
                <w:sz w:val="18"/>
              </w:rPr>
              <w:t>Precision</w:t>
            </w:r>
          </w:p>
        </w:tc>
        <w:tc>
          <w:tcPr>
            <w:tcW w:type="dxa" w:w="1800"/>
            <w:shd w:fill="1F4D78"/>
            <w:vAlign w:val="center"/>
          </w:tcPr>
          <w:p>
            <w:pPr>
              <w:spacing w:after="40"/>
              <w:jc w:val="center"/>
            </w:pPr>
            <w:r>
              <w:rPr>
                <w:rFonts w:ascii="Calibri" w:hAnsi="Calibri"/>
                <w:b/>
                <w:color w:val="FFFFFF"/>
                <w:sz w:val="18"/>
              </w:rPr>
              <w:t>Recall</w:t>
            </w:r>
          </w:p>
        </w:tc>
        <w:tc>
          <w:tcPr>
            <w:tcW w:type="dxa" w:w="1800"/>
            <w:shd w:fill="1F4D78"/>
            <w:vAlign w:val="center"/>
          </w:tcPr>
          <w:p>
            <w:pPr>
              <w:spacing w:after="40"/>
              <w:jc w:val="center"/>
            </w:pPr>
            <w:r>
              <w:rPr>
                <w:rFonts w:ascii="Calibri" w:hAnsi="Calibri"/>
                <w:b/>
                <w:color w:val="FFFFFF"/>
                <w:sz w:val="18"/>
              </w:rPr>
              <w:t>F1</w:t>
            </w:r>
          </w:p>
        </w:tc>
        <w:tc>
          <w:tcPr>
            <w:tcW w:type="dxa" w:w="1860"/>
            <w:shd w:fill="1F4D78"/>
            <w:vAlign w:val="center"/>
          </w:tcPr>
          <w:p>
            <w:pPr>
              <w:spacing w:after="40"/>
              <w:jc w:val="center"/>
            </w:pPr>
            <w:r>
              <w:rPr>
                <w:rFonts w:ascii="Calibri" w:hAnsi="Calibri"/>
                <w:b/>
                <w:color w:val="FFFFFF"/>
                <w:sz w:val="18"/>
              </w:rPr>
              <w:t>Support</w:t>
            </w:r>
          </w:p>
        </w:tc>
      </w:tr>
      <w:tr>
        <w:trPr>
          <w:cantSplit/>
        </w:trPr>
        <w:tc>
          <w:tcPr>
            <w:tcW w:type="dxa" w:w="2100"/>
            <w:vAlign w:val="center"/>
          </w:tcPr>
          <w:p>
            <w:pPr>
              <w:spacing w:after="40"/>
            </w:pPr>
            <w:r>
              <w:rPr>
                <w:rFonts w:ascii="Calibri" w:hAnsi="Calibri"/>
                <w:color w:val="1E1E1E"/>
                <w:sz w:val="17"/>
              </w:rPr>
              <w:t>genre_8</w:t>
            </w:r>
          </w:p>
        </w:tc>
        <w:tc>
          <w:tcPr>
            <w:tcW w:type="dxa" w:w="1800"/>
            <w:vAlign w:val="center"/>
          </w:tcPr>
          <w:p>
            <w:pPr>
              <w:spacing w:after="40"/>
            </w:pPr>
            <w:r>
              <w:rPr>
                <w:rFonts w:ascii="Calibri" w:hAnsi="Calibri"/>
                <w:color w:val="1E1E1E"/>
                <w:sz w:val="17"/>
              </w:rPr>
              <w:t>1.000</w:t>
            </w:r>
          </w:p>
        </w:tc>
        <w:tc>
          <w:tcPr>
            <w:tcW w:type="dxa" w:w="1800"/>
            <w:vAlign w:val="center"/>
          </w:tcPr>
          <w:p>
            <w:pPr>
              <w:spacing w:after="40"/>
            </w:pPr>
            <w:r>
              <w:rPr>
                <w:rFonts w:ascii="Calibri" w:hAnsi="Calibri"/>
                <w:color w:val="1E1E1E"/>
                <w:sz w:val="17"/>
              </w:rPr>
              <w:t>1.000</w:t>
            </w:r>
          </w:p>
        </w:tc>
        <w:tc>
          <w:tcPr>
            <w:tcW w:type="dxa" w:w="1800"/>
            <w:vAlign w:val="center"/>
          </w:tcPr>
          <w:p>
            <w:pPr>
              <w:spacing w:after="40"/>
            </w:pPr>
            <w:r>
              <w:rPr>
                <w:rFonts w:ascii="Calibri" w:hAnsi="Calibri"/>
                <w:color w:val="1E1E1E"/>
                <w:sz w:val="17"/>
              </w:rPr>
              <w:t>1.000</w:t>
            </w:r>
          </w:p>
        </w:tc>
        <w:tc>
          <w:tcPr>
            <w:tcW w:type="dxa" w:w="1860"/>
            <w:vAlign w:val="center"/>
          </w:tcPr>
          <w:p>
            <w:pPr>
              <w:spacing w:after="40"/>
            </w:pPr>
            <w:r>
              <w:rPr>
                <w:rFonts w:ascii="Calibri" w:hAnsi="Calibri"/>
                <w:color w:val="1E1E1E"/>
                <w:sz w:val="17"/>
              </w:rPr>
              <w:t>1</w:t>
            </w:r>
          </w:p>
        </w:tc>
      </w:tr>
      <w:tr>
        <w:trPr>
          <w:cantSplit/>
        </w:trPr>
        <w:tc>
          <w:tcPr>
            <w:tcW w:type="dxa" w:w="2100"/>
            <w:vAlign w:val="center"/>
          </w:tcPr>
          <w:p>
            <w:pPr>
              <w:spacing w:after="40"/>
            </w:pPr>
            <w:r>
              <w:rPr>
                <w:rFonts w:ascii="Calibri" w:hAnsi="Calibri"/>
                <w:color w:val="1E1E1E"/>
                <w:sz w:val="17"/>
              </w:rPr>
              <w:t>genre_38</w:t>
            </w:r>
          </w:p>
        </w:tc>
        <w:tc>
          <w:tcPr>
            <w:tcW w:type="dxa" w:w="1800"/>
            <w:vAlign w:val="center"/>
          </w:tcPr>
          <w:p>
            <w:pPr>
              <w:spacing w:after="40"/>
            </w:pPr>
            <w:r>
              <w:rPr>
                <w:rFonts w:ascii="Calibri" w:hAnsi="Calibri"/>
                <w:color w:val="1E1E1E"/>
                <w:sz w:val="17"/>
              </w:rPr>
              <w:t>0.580</w:t>
            </w:r>
          </w:p>
        </w:tc>
        <w:tc>
          <w:tcPr>
            <w:tcW w:type="dxa" w:w="1800"/>
            <w:vAlign w:val="center"/>
          </w:tcPr>
          <w:p>
            <w:pPr>
              <w:spacing w:after="40"/>
            </w:pPr>
            <w:r>
              <w:rPr>
                <w:rFonts w:ascii="Calibri" w:hAnsi="Calibri"/>
                <w:color w:val="1E1E1E"/>
                <w:sz w:val="17"/>
              </w:rPr>
              <w:t>1.000</w:t>
            </w:r>
          </w:p>
        </w:tc>
        <w:tc>
          <w:tcPr>
            <w:tcW w:type="dxa" w:w="1800"/>
            <w:vAlign w:val="center"/>
          </w:tcPr>
          <w:p>
            <w:pPr>
              <w:spacing w:after="40"/>
            </w:pPr>
            <w:r>
              <w:rPr>
                <w:rFonts w:ascii="Calibri" w:hAnsi="Calibri"/>
                <w:color w:val="1E1E1E"/>
                <w:sz w:val="17"/>
              </w:rPr>
              <w:t>0.734</w:t>
            </w:r>
          </w:p>
        </w:tc>
        <w:tc>
          <w:tcPr>
            <w:tcW w:type="dxa" w:w="1860"/>
            <w:vAlign w:val="center"/>
          </w:tcPr>
          <w:p>
            <w:pPr>
              <w:spacing w:after="40"/>
            </w:pPr>
            <w:r>
              <w:rPr>
                <w:rFonts w:ascii="Calibri" w:hAnsi="Calibri"/>
                <w:color w:val="1E1E1E"/>
                <w:sz w:val="17"/>
              </w:rPr>
              <w:t>58</w:t>
            </w:r>
          </w:p>
        </w:tc>
      </w:tr>
      <w:tr>
        <w:trPr>
          <w:cantSplit/>
        </w:trPr>
        <w:tc>
          <w:tcPr>
            <w:tcW w:type="dxa" w:w="2100"/>
            <w:vAlign w:val="center"/>
          </w:tcPr>
          <w:p>
            <w:pPr>
              <w:spacing w:after="40"/>
            </w:pPr>
            <w:r>
              <w:rPr>
                <w:rFonts w:ascii="Calibri" w:hAnsi="Calibri"/>
                <w:color w:val="1E1E1E"/>
                <w:sz w:val="17"/>
              </w:rPr>
              <w:t>genre_47</w:t>
            </w:r>
          </w:p>
        </w:tc>
        <w:tc>
          <w:tcPr>
            <w:tcW w:type="dxa" w:w="1800"/>
            <w:vAlign w:val="center"/>
          </w:tcPr>
          <w:p>
            <w:pPr>
              <w:spacing w:after="40"/>
            </w:pPr>
            <w:r>
              <w:rPr>
                <w:rFonts w:ascii="Calibri" w:hAnsi="Calibri"/>
                <w:color w:val="1E1E1E"/>
                <w:sz w:val="17"/>
              </w:rPr>
              <w:t>1.000</w:t>
            </w:r>
          </w:p>
        </w:tc>
        <w:tc>
          <w:tcPr>
            <w:tcW w:type="dxa" w:w="1800"/>
            <w:vAlign w:val="center"/>
          </w:tcPr>
          <w:p>
            <w:pPr>
              <w:spacing w:after="40"/>
            </w:pPr>
            <w:r>
              <w:rPr>
                <w:rFonts w:ascii="Calibri" w:hAnsi="Calibri"/>
                <w:color w:val="1E1E1E"/>
                <w:sz w:val="17"/>
              </w:rPr>
              <w:t>0.500</w:t>
            </w:r>
          </w:p>
        </w:tc>
        <w:tc>
          <w:tcPr>
            <w:tcW w:type="dxa" w:w="1800"/>
            <w:vAlign w:val="center"/>
          </w:tcPr>
          <w:p>
            <w:pPr>
              <w:spacing w:after="40"/>
            </w:pPr>
            <w:r>
              <w:rPr>
                <w:rFonts w:ascii="Calibri" w:hAnsi="Calibri"/>
                <w:color w:val="1E1E1E"/>
                <w:sz w:val="17"/>
              </w:rPr>
              <w:t>0.667</w:t>
            </w:r>
          </w:p>
        </w:tc>
        <w:tc>
          <w:tcPr>
            <w:tcW w:type="dxa" w:w="1860"/>
            <w:vAlign w:val="center"/>
          </w:tcPr>
          <w:p>
            <w:pPr>
              <w:spacing w:after="40"/>
            </w:pPr>
            <w:r>
              <w:rPr>
                <w:rFonts w:ascii="Calibri" w:hAnsi="Calibri"/>
                <w:color w:val="1E1E1E"/>
                <w:sz w:val="17"/>
              </w:rPr>
              <w:t>2</w:t>
            </w:r>
          </w:p>
        </w:tc>
      </w:tr>
      <w:tr>
        <w:trPr>
          <w:cantSplit/>
        </w:trPr>
        <w:tc>
          <w:tcPr>
            <w:tcW w:type="dxa" w:w="2100"/>
            <w:vAlign w:val="center"/>
          </w:tcPr>
          <w:p>
            <w:pPr>
              <w:spacing w:after="40"/>
            </w:pPr>
            <w:r>
              <w:rPr>
                <w:rFonts w:ascii="Calibri" w:hAnsi="Calibri"/>
                <w:color w:val="1E1E1E"/>
                <w:sz w:val="17"/>
              </w:rPr>
              <w:t>genre_12</w:t>
            </w:r>
          </w:p>
        </w:tc>
        <w:tc>
          <w:tcPr>
            <w:tcW w:type="dxa" w:w="1800"/>
            <w:vAlign w:val="center"/>
          </w:tcPr>
          <w:p>
            <w:pPr>
              <w:spacing w:after="40"/>
            </w:pPr>
            <w:r>
              <w:rPr>
                <w:rFonts w:ascii="Calibri" w:hAnsi="Calibri"/>
                <w:color w:val="1E1E1E"/>
                <w:sz w:val="17"/>
              </w:rPr>
              <w:t>0.467</w:t>
            </w:r>
          </w:p>
        </w:tc>
        <w:tc>
          <w:tcPr>
            <w:tcW w:type="dxa" w:w="1800"/>
            <w:vAlign w:val="center"/>
          </w:tcPr>
          <w:p>
            <w:pPr>
              <w:spacing w:after="40"/>
            </w:pPr>
            <w:r>
              <w:rPr>
                <w:rFonts w:ascii="Calibri" w:hAnsi="Calibri"/>
                <w:color w:val="1E1E1E"/>
                <w:sz w:val="17"/>
              </w:rPr>
              <w:t>0.946</w:t>
            </w:r>
          </w:p>
        </w:tc>
        <w:tc>
          <w:tcPr>
            <w:tcW w:type="dxa" w:w="1800"/>
            <w:vAlign w:val="center"/>
          </w:tcPr>
          <w:p>
            <w:pPr>
              <w:spacing w:after="40"/>
            </w:pPr>
            <w:r>
              <w:rPr>
                <w:rFonts w:ascii="Calibri" w:hAnsi="Calibri"/>
                <w:color w:val="1E1E1E"/>
                <w:sz w:val="17"/>
              </w:rPr>
              <w:t>0.625</w:t>
            </w:r>
          </w:p>
        </w:tc>
        <w:tc>
          <w:tcPr>
            <w:tcW w:type="dxa" w:w="1860"/>
            <w:vAlign w:val="center"/>
          </w:tcPr>
          <w:p>
            <w:pPr>
              <w:spacing w:after="40"/>
            </w:pPr>
            <w:r>
              <w:rPr>
                <w:rFonts w:ascii="Calibri" w:hAnsi="Calibri"/>
                <w:color w:val="1E1E1E"/>
                <w:sz w:val="17"/>
              </w:rPr>
              <w:t>37</w:t>
            </w:r>
          </w:p>
        </w:tc>
      </w:tr>
      <w:tr>
        <w:trPr>
          <w:cantSplit/>
        </w:trPr>
        <w:tc>
          <w:tcPr>
            <w:tcW w:type="dxa" w:w="2100"/>
            <w:vAlign w:val="center"/>
          </w:tcPr>
          <w:p>
            <w:pPr>
              <w:spacing w:after="40"/>
            </w:pPr>
            <w:r>
              <w:rPr>
                <w:rFonts w:ascii="Calibri" w:hAnsi="Calibri"/>
                <w:color w:val="1E1E1E"/>
                <w:sz w:val="17"/>
              </w:rPr>
              <w:t>genre_32</w:t>
            </w:r>
          </w:p>
        </w:tc>
        <w:tc>
          <w:tcPr>
            <w:tcW w:type="dxa" w:w="1800"/>
            <w:vAlign w:val="center"/>
          </w:tcPr>
          <w:p>
            <w:pPr>
              <w:spacing w:after="40"/>
            </w:pPr>
            <w:r>
              <w:rPr>
                <w:rFonts w:ascii="Calibri" w:hAnsi="Calibri"/>
                <w:color w:val="1E1E1E"/>
                <w:sz w:val="17"/>
              </w:rPr>
              <w:t>0.536</w:t>
            </w:r>
          </w:p>
        </w:tc>
        <w:tc>
          <w:tcPr>
            <w:tcW w:type="dxa" w:w="1800"/>
            <w:vAlign w:val="center"/>
          </w:tcPr>
          <w:p>
            <w:pPr>
              <w:spacing w:after="40"/>
            </w:pPr>
            <w:r>
              <w:rPr>
                <w:rFonts w:ascii="Calibri" w:hAnsi="Calibri"/>
                <w:color w:val="1E1E1E"/>
                <w:sz w:val="17"/>
              </w:rPr>
              <w:t>0.600</w:t>
            </w:r>
          </w:p>
        </w:tc>
        <w:tc>
          <w:tcPr>
            <w:tcW w:type="dxa" w:w="1800"/>
            <w:vAlign w:val="center"/>
          </w:tcPr>
          <w:p>
            <w:pPr>
              <w:spacing w:after="40"/>
            </w:pPr>
            <w:r>
              <w:rPr>
                <w:rFonts w:ascii="Calibri" w:hAnsi="Calibri"/>
                <w:color w:val="1E1E1E"/>
                <w:sz w:val="17"/>
              </w:rPr>
              <w:t>0.566</w:t>
            </w:r>
          </w:p>
        </w:tc>
        <w:tc>
          <w:tcPr>
            <w:tcW w:type="dxa" w:w="1860"/>
            <w:vAlign w:val="center"/>
          </w:tcPr>
          <w:p>
            <w:pPr>
              <w:spacing w:after="40"/>
            </w:pPr>
            <w:r>
              <w:rPr>
                <w:rFonts w:ascii="Calibri" w:hAnsi="Calibri"/>
                <w:color w:val="1E1E1E"/>
                <w:sz w:val="17"/>
              </w:rPr>
              <w:t>25</w:t>
            </w:r>
          </w:p>
        </w:tc>
      </w:tr>
      <w:tr>
        <w:trPr>
          <w:cantSplit/>
        </w:trPr>
        <w:tc>
          <w:tcPr>
            <w:tcW w:type="dxa" w:w="2100"/>
            <w:vAlign w:val="center"/>
          </w:tcPr>
          <w:p>
            <w:pPr>
              <w:spacing w:after="40"/>
            </w:pPr>
            <w:r>
              <w:rPr>
                <w:rFonts w:ascii="Calibri" w:hAnsi="Calibri"/>
                <w:color w:val="1E1E1E"/>
                <w:sz w:val="17"/>
              </w:rPr>
              <w:t>genre_17</w:t>
            </w:r>
          </w:p>
        </w:tc>
        <w:tc>
          <w:tcPr>
            <w:tcW w:type="dxa" w:w="1800"/>
            <w:vAlign w:val="center"/>
          </w:tcPr>
          <w:p>
            <w:pPr>
              <w:spacing w:after="40"/>
            </w:pPr>
            <w:r>
              <w:rPr>
                <w:rFonts w:ascii="Calibri" w:hAnsi="Calibri"/>
                <w:color w:val="1E1E1E"/>
                <w:sz w:val="17"/>
              </w:rPr>
              <w:t>0.389</w:t>
            </w:r>
          </w:p>
        </w:tc>
        <w:tc>
          <w:tcPr>
            <w:tcW w:type="dxa" w:w="1800"/>
            <w:vAlign w:val="center"/>
          </w:tcPr>
          <w:p>
            <w:pPr>
              <w:spacing w:after="40"/>
            </w:pPr>
            <w:r>
              <w:rPr>
                <w:rFonts w:ascii="Calibri" w:hAnsi="Calibri"/>
                <w:color w:val="1E1E1E"/>
                <w:sz w:val="17"/>
              </w:rPr>
              <w:t>0.875</w:t>
            </w:r>
          </w:p>
        </w:tc>
        <w:tc>
          <w:tcPr>
            <w:tcW w:type="dxa" w:w="1800"/>
            <w:vAlign w:val="center"/>
          </w:tcPr>
          <w:p>
            <w:pPr>
              <w:spacing w:after="40"/>
            </w:pPr>
            <w:r>
              <w:rPr>
                <w:rFonts w:ascii="Calibri" w:hAnsi="Calibri"/>
                <w:color w:val="1E1E1E"/>
                <w:sz w:val="17"/>
              </w:rPr>
              <w:t>0.538</w:t>
            </w:r>
          </w:p>
        </w:tc>
        <w:tc>
          <w:tcPr>
            <w:tcW w:type="dxa" w:w="1860"/>
            <w:vAlign w:val="center"/>
          </w:tcPr>
          <w:p>
            <w:pPr>
              <w:spacing w:after="40"/>
            </w:pPr>
            <w:r>
              <w:rPr>
                <w:rFonts w:ascii="Calibri" w:hAnsi="Calibri"/>
                <w:color w:val="1E1E1E"/>
                <w:sz w:val="17"/>
              </w:rPr>
              <w:t>8</w:t>
            </w:r>
          </w:p>
        </w:tc>
      </w:tr>
      <w:tr>
        <w:trPr>
          <w:cantSplit/>
        </w:trPr>
        <w:tc>
          <w:tcPr>
            <w:tcW w:type="dxa" w:w="2100"/>
            <w:vAlign w:val="center"/>
          </w:tcPr>
          <w:p>
            <w:pPr>
              <w:spacing w:after="40"/>
            </w:pPr>
            <w:r>
              <w:rPr>
                <w:rFonts w:ascii="Calibri" w:hAnsi="Calibri"/>
                <w:color w:val="1E1E1E"/>
                <w:sz w:val="17"/>
              </w:rPr>
              <w:t>genre_15</w:t>
            </w:r>
          </w:p>
        </w:tc>
        <w:tc>
          <w:tcPr>
            <w:tcW w:type="dxa" w:w="1800"/>
            <w:vAlign w:val="center"/>
          </w:tcPr>
          <w:p>
            <w:pPr>
              <w:spacing w:after="40"/>
            </w:pPr>
            <w:r>
              <w:rPr>
                <w:rFonts w:ascii="Calibri" w:hAnsi="Calibri"/>
                <w:color w:val="1E1E1E"/>
                <w:sz w:val="17"/>
              </w:rPr>
              <w:t>0.367</w:t>
            </w:r>
          </w:p>
        </w:tc>
        <w:tc>
          <w:tcPr>
            <w:tcW w:type="dxa" w:w="1800"/>
            <w:vAlign w:val="center"/>
          </w:tcPr>
          <w:p>
            <w:pPr>
              <w:spacing w:after="40"/>
            </w:pPr>
            <w:r>
              <w:rPr>
                <w:rFonts w:ascii="Calibri" w:hAnsi="Calibri"/>
                <w:color w:val="1E1E1E"/>
                <w:sz w:val="17"/>
              </w:rPr>
              <w:t>0.786</w:t>
            </w:r>
          </w:p>
        </w:tc>
        <w:tc>
          <w:tcPr>
            <w:tcW w:type="dxa" w:w="1800"/>
            <w:vAlign w:val="center"/>
          </w:tcPr>
          <w:p>
            <w:pPr>
              <w:spacing w:after="40"/>
            </w:pPr>
            <w:r>
              <w:rPr>
                <w:rFonts w:ascii="Calibri" w:hAnsi="Calibri"/>
                <w:color w:val="1E1E1E"/>
                <w:sz w:val="17"/>
              </w:rPr>
              <w:t>0.500</w:t>
            </w:r>
          </w:p>
        </w:tc>
        <w:tc>
          <w:tcPr>
            <w:tcW w:type="dxa" w:w="1860"/>
            <w:vAlign w:val="center"/>
          </w:tcPr>
          <w:p>
            <w:pPr>
              <w:spacing w:after="40"/>
            </w:pPr>
            <w:r>
              <w:rPr>
                <w:rFonts w:ascii="Calibri" w:hAnsi="Calibri"/>
                <w:color w:val="1E1E1E"/>
                <w:sz w:val="17"/>
              </w:rPr>
              <w:t>28</w:t>
            </w:r>
          </w:p>
        </w:tc>
      </w:tr>
      <w:tr>
        <w:trPr>
          <w:cantSplit/>
        </w:trPr>
        <w:tc>
          <w:tcPr>
            <w:tcW w:type="dxa" w:w="2100"/>
            <w:vAlign w:val="center"/>
          </w:tcPr>
          <w:p>
            <w:pPr>
              <w:spacing w:after="40"/>
            </w:pPr>
            <w:r>
              <w:rPr>
                <w:rFonts w:ascii="Calibri" w:hAnsi="Calibri"/>
                <w:color w:val="1E1E1E"/>
                <w:sz w:val="17"/>
              </w:rPr>
              <w:t>genre_103</w:t>
            </w:r>
          </w:p>
        </w:tc>
        <w:tc>
          <w:tcPr>
            <w:tcW w:type="dxa" w:w="1800"/>
            <w:vAlign w:val="center"/>
          </w:tcPr>
          <w:p>
            <w:pPr>
              <w:spacing w:after="40"/>
            </w:pPr>
            <w:r>
              <w:rPr>
                <w:rFonts w:ascii="Calibri" w:hAnsi="Calibri"/>
                <w:color w:val="1E1E1E"/>
                <w:sz w:val="17"/>
              </w:rPr>
              <w:t>0.500</w:t>
            </w:r>
          </w:p>
        </w:tc>
        <w:tc>
          <w:tcPr>
            <w:tcW w:type="dxa" w:w="1800"/>
            <w:vAlign w:val="center"/>
          </w:tcPr>
          <w:p>
            <w:pPr>
              <w:spacing w:after="40"/>
            </w:pPr>
            <w:r>
              <w:rPr>
                <w:rFonts w:ascii="Calibri" w:hAnsi="Calibri"/>
                <w:color w:val="1E1E1E"/>
                <w:sz w:val="17"/>
              </w:rPr>
              <w:t>0.429</w:t>
            </w:r>
          </w:p>
        </w:tc>
        <w:tc>
          <w:tcPr>
            <w:tcW w:type="dxa" w:w="1800"/>
            <w:vAlign w:val="center"/>
          </w:tcPr>
          <w:p>
            <w:pPr>
              <w:spacing w:after="40"/>
            </w:pPr>
            <w:r>
              <w:rPr>
                <w:rFonts w:ascii="Calibri" w:hAnsi="Calibri"/>
                <w:color w:val="1E1E1E"/>
                <w:sz w:val="17"/>
              </w:rPr>
              <w:t>0.462</w:t>
            </w:r>
          </w:p>
        </w:tc>
        <w:tc>
          <w:tcPr>
            <w:tcW w:type="dxa" w:w="1860"/>
            <w:vAlign w:val="center"/>
          </w:tcPr>
          <w:p>
            <w:pPr>
              <w:spacing w:after="40"/>
            </w:pPr>
            <w:r>
              <w:rPr>
                <w:rFonts w:ascii="Calibri" w:hAnsi="Calibri"/>
                <w:color w:val="1E1E1E"/>
                <w:sz w:val="17"/>
              </w:rPr>
              <w:t>7</w:t>
            </w:r>
          </w:p>
        </w:tc>
      </w:tr>
      <w:tr>
        <w:trPr>
          <w:cantSplit/>
        </w:trPr>
        <w:tc>
          <w:tcPr>
            <w:tcW w:type="dxa" w:w="2100"/>
            <w:vAlign w:val="center"/>
          </w:tcPr>
          <w:p>
            <w:pPr>
              <w:spacing w:after="40"/>
            </w:pPr>
            <w:r>
              <w:rPr>
                <w:rFonts w:ascii="Calibri" w:hAnsi="Calibri"/>
                <w:color w:val="1E1E1E"/>
                <w:sz w:val="17"/>
              </w:rPr>
              <w:t>genre_250</w:t>
            </w:r>
          </w:p>
        </w:tc>
        <w:tc>
          <w:tcPr>
            <w:tcW w:type="dxa" w:w="1800"/>
            <w:vAlign w:val="center"/>
          </w:tcPr>
          <w:p>
            <w:pPr>
              <w:spacing w:after="40"/>
            </w:pPr>
            <w:r>
              <w:rPr>
                <w:rFonts w:ascii="Calibri" w:hAnsi="Calibri"/>
                <w:color w:val="1E1E1E"/>
                <w:sz w:val="17"/>
              </w:rPr>
              <w:t>0.333</w:t>
            </w:r>
          </w:p>
        </w:tc>
        <w:tc>
          <w:tcPr>
            <w:tcW w:type="dxa" w:w="1800"/>
            <w:vAlign w:val="center"/>
          </w:tcPr>
          <w:p>
            <w:pPr>
              <w:spacing w:after="40"/>
            </w:pPr>
            <w:r>
              <w:rPr>
                <w:rFonts w:ascii="Calibri" w:hAnsi="Calibri"/>
                <w:color w:val="1E1E1E"/>
                <w:sz w:val="17"/>
              </w:rPr>
              <w:t>0.500</w:t>
            </w:r>
          </w:p>
        </w:tc>
        <w:tc>
          <w:tcPr>
            <w:tcW w:type="dxa" w:w="1800"/>
            <w:vAlign w:val="center"/>
          </w:tcPr>
          <w:p>
            <w:pPr>
              <w:spacing w:after="40"/>
            </w:pPr>
            <w:r>
              <w:rPr>
                <w:rFonts w:ascii="Calibri" w:hAnsi="Calibri"/>
                <w:color w:val="1E1E1E"/>
                <w:sz w:val="17"/>
              </w:rPr>
              <w:t>0.400</w:t>
            </w:r>
          </w:p>
        </w:tc>
        <w:tc>
          <w:tcPr>
            <w:tcW w:type="dxa" w:w="1860"/>
            <w:vAlign w:val="center"/>
          </w:tcPr>
          <w:p>
            <w:pPr>
              <w:spacing w:after="40"/>
            </w:pPr>
            <w:r>
              <w:rPr>
                <w:rFonts w:ascii="Calibri" w:hAnsi="Calibri"/>
                <w:color w:val="1E1E1E"/>
                <w:sz w:val="17"/>
              </w:rPr>
              <w:t>6</w:t>
            </w:r>
          </w:p>
        </w:tc>
      </w:tr>
      <w:tr>
        <w:trPr>
          <w:cantSplit/>
        </w:trPr>
        <w:tc>
          <w:tcPr>
            <w:tcW w:type="dxa" w:w="2100"/>
            <w:vAlign w:val="center"/>
          </w:tcPr>
          <w:p>
            <w:pPr>
              <w:spacing w:after="40"/>
            </w:pPr>
            <w:r>
              <w:rPr>
                <w:rFonts w:ascii="Calibri" w:hAnsi="Calibri"/>
                <w:color w:val="1E1E1E"/>
                <w:sz w:val="17"/>
              </w:rPr>
              <w:t>genre_10</w:t>
            </w:r>
          </w:p>
        </w:tc>
        <w:tc>
          <w:tcPr>
            <w:tcW w:type="dxa" w:w="1800"/>
            <w:vAlign w:val="center"/>
          </w:tcPr>
          <w:p>
            <w:pPr>
              <w:spacing w:after="40"/>
            </w:pPr>
            <w:r>
              <w:rPr>
                <w:rFonts w:ascii="Calibri" w:hAnsi="Calibri"/>
                <w:color w:val="1E1E1E"/>
                <w:sz w:val="17"/>
              </w:rPr>
              <w:t>0.263</w:t>
            </w:r>
          </w:p>
        </w:tc>
        <w:tc>
          <w:tcPr>
            <w:tcW w:type="dxa" w:w="1800"/>
            <w:vAlign w:val="center"/>
          </w:tcPr>
          <w:p>
            <w:pPr>
              <w:spacing w:after="40"/>
            </w:pPr>
            <w:r>
              <w:rPr>
                <w:rFonts w:ascii="Calibri" w:hAnsi="Calibri"/>
                <w:color w:val="1E1E1E"/>
                <w:sz w:val="17"/>
              </w:rPr>
              <w:t>0.556</w:t>
            </w:r>
          </w:p>
        </w:tc>
        <w:tc>
          <w:tcPr>
            <w:tcW w:type="dxa" w:w="1800"/>
            <w:vAlign w:val="center"/>
          </w:tcPr>
          <w:p>
            <w:pPr>
              <w:spacing w:after="40"/>
            </w:pPr>
            <w:r>
              <w:rPr>
                <w:rFonts w:ascii="Calibri" w:hAnsi="Calibri"/>
                <w:color w:val="1E1E1E"/>
                <w:sz w:val="17"/>
              </w:rPr>
              <w:t>0.357</w:t>
            </w:r>
          </w:p>
        </w:tc>
        <w:tc>
          <w:tcPr>
            <w:tcW w:type="dxa" w:w="1860"/>
            <w:vAlign w:val="center"/>
          </w:tcPr>
          <w:p>
            <w:pPr>
              <w:spacing w:after="40"/>
            </w:pPr>
            <w:r>
              <w:rPr>
                <w:rFonts w:ascii="Calibri" w:hAnsi="Calibri"/>
                <w:color w:val="1E1E1E"/>
                <w:sz w:val="17"/>
              </w:rPr>
              <w:t>9</w:t>
            </w:r>
          </w:p>
        </w:tc>
      </w:tr>
    </w:tbl>
    <w:p>
      <w:pPr>
        <w:spacing w:before="0" w:after="80"/>
      </w:pPr>
    </w:p>
    <w:p>
      <w:r>
        <w:t>The best per-label results came from broad or better-supported genres. Macro F1 stayed much lower than Micro F1 because many labels had few examples. This is a common problem in genre work, but it is still important to state clearly. The report therefore uses per-label results and Top-k hit rates. A single accuracy score would hide too much.</w:t>
      </w:r>
    </w:p>
    <w:p>
      <w:pPr>
        <w:pStyle w:val="Heading2"/>
      </w:pPr>
      <w:r>
        <w:t>9.2 Why Top-k Results Matter</w:t>
      </w:r>
    </w:p>
    <w:p>
      <w:pPr/>
      <w:r>
        <w:t>The Top-k results are not included to make weak results look better. They match the problem. In music tagging, a useful system often needs to place a good candidate near the top, then let a reviewer or catalogue rule make the final choice. This is especially true when labels overlap or when the expected label is a broad family such as Rock, Electronic, or Experimental.</w:t>
      </w:r>
    </w:p>
    <w:p>
      <w:pPr/>
      <w:r>
        <w:t>Notebook 49 shows this clearly. Top-1 hit-any was 72.0%, which is useful but not perfect. Top-3 and Top-5 were much stronger at 98.0% and 99.0%. That gap explains the final position of the project: the model is stronger as a ranked suggestion engine than as a single-label classifier.</w:t>
      </w:r>
    </w:p>
    <w:p>
      <w:pPr/>
      <w:r>
        <w:t>The main technical meaning of the Notebook 49 results is the gap between Top-1 and Top-5. Top-1 hit-any of 72.0% shows that exact first-choice prediction was useful but still imperfect. Top-3 at 98.0% and Top-5 at 99.0% show that the model usually placed a correct or acceptable genre very near the top. In a music library workflow, that difference matters because the reviewer does not need the model to be the final authority. The reviewer needs a short and credible shortlist.</w:t>
      </w:r>
    </w:p>
    <w:p>
      <w:pPr/>
      <w:r>
        <w:t>The low Macro F1 remains important and should not be ignored. It shows that the rare end of the label space did not receive the same quality of prediction as the common labels. This is why the final paper separates the 150 direct labels from the rare-tail fallback labels. The model can support discovery and review, but rare subgenre claims need caution.</w:t>
      </w:r>
    </w:p>
    <w:p>
      <w:pPr>
        <w:pStyle w:val="Heading1"/>
      </w:pPr>
      <w:r>
        <w:t>10. External Audio Batch Evaluation: Notebook 50</w:t>
      </w:r>
    </w:p>
    <w:p>
      <w:r>
        <w:t>Notebook 50 tests the model on external open-licence songs. The batch contains 60 tracks from Internet Archive Netlabels: 10 each for Rock, Electronic, Experimental, Folk, Hip-Hop, and Pop. The manifest records the song, artist, source URL, licence URL, target genre, accepted genre names, and accepted FMA label IDs. This keeps the test auditable and avoids commercial copyrighted downloads.</w:t>
      </w:r>
    </w:p>
    <w:p>
      <w:pPr/>
      <w:r>
        <w:t>The Notebook 50 table should be read differently from the FMA test table. It measures transfer to external songs, not only performance on records drawn from the same project dataset. Lower Top-1 performance was therefore expected, but the Top-3 and Top-5 results still provide useful evidence for a ranked recommendation use case.</w:t>
      </w:r>
    </w:p>
    <w:p>
      <w:pPr>
        <w:jc w:val="center"/>
      </w:pPr>
      <w:r/>
    </w:p>
    <w:p>
      <w:pPr>
        <w:spacing w:after="160"/>
        <w:jc w:val="center"/>
      </w:pPr>
      <w:r>
        <w:rPr>
          <w:rFonts w:ascii="Calibri" w:hAnsi="Calibri"/>
          <w:i/>
          <w:color w:val="5A5A5A"/>
          <w:sz w:val="18"/>
        </w:rPr>
        <w:t>Figure 5. External Top-k hit rates by target genre.</w:t>
      </w:r>
    </w:p>
    <w:p>
      <w:pPr/>
      <w:r>
        <w:t>Figure 5 should be read as evidence of uneven external transfer. Some target genres were easier to recover than others, and the value of Top-k results was clearer than the value of Top-1 alone. This supports the decision to present external testing as deployment-style evidence rather than final production validation.</w:t>
      </w:r>
    </w:p>
    <w:tbl>
      <w:tblPr>
        <w:tblStyle w:val="TableGrid"/>
        <w:tblW w:type="dxa" w:w="9360"/>
        <w:tblLook w:firstColumn="1" w:firstRow="1" w:lastColumn="0" w:lastRow="0" w:noHBand="0" w:noVBand="1" w:val="04A0"/>
        <w:tblInd w:type="dxa" w:w="120"/>
      </w:tblPr>
      <w:tblGrid>
        <w:gridCol w:w="1700"/>
        <w:gridCol w:w="900"/>
        <w:gridCol w:w="1150"/>
        <w:gridCol w:w="1150"/>
        <w:gridCol w:w="1150"/>
        <w:gridCol w:w="1500"/>
        <w:gridCol w:w="1810"/>
      </w:tblGrid>
      <w:tr>
        <w:trPr>
          <w:cantSplit/>
          <w:tblHeader/>
        </w:trPr>
        <w:tc>
          <w:tcPr>
            <w:tcW w:type="dxa" w:w="1700"/>
            <w:shd w:fill="1F4D78"/>
            <w:vAlign w:val="center"/>
          </w:tcPr>
          <w:p>
            <w:pPr>
              <w:spacing w:after="40"/>
              <w:jc w:val="center"/>
            </w:pPr>
            <w:r>
              <w:rPr>
                <w:rFonts w:ascii="Calibri" w:hAnsi="Calibri"/>
                <w:b/>
                <w:color w:val="FFFFFF"/>
                <w:sz w:val="18"/>
              </w:rPr>
              <w:t>Expected genre</w:t>
            </w:r>
          </w:p>
        </w:tc>
        <w:tc>
          <w:tcPr>
            <w:tcW w:type="dxa" w:w="900"/>
            <w:shd w:fill="1F4D78"/>
            <w:vAlign w:val="center"/>
          </w:tcPr>
          <w:p>
            <w:pPr>
              <w:spacing w:after="40"/>
              <w:jc w:val="center"/>
            </w:pPr>
            <w:r>
              <w:rPr>
                <w:rFonts w:ascii="Calibri" w:hAnsi="Calibri"/>
                <w:b/>
                <w:color w:val="FFFFFF"/>
                <w:sz w:val="18"/>
              </w:rPr>
              <w:t>Songs</w:t>
            </w:r>
          </w:p>
        </w:tc>
        <w:tc>
          <w:tcPr>
            <w:tcW w:type="dxa" w:w="1150"/>
            <w:shd w:fill="1F4D78"/>
            <w:vAlign w:val="center"/>
          </w:tcPr>
          <w:p>
            <w:pPr>
              <w:spacing w:after="40"/>
              <w:jc w:val="center"/>
            </w:pPr>
            <w:r>
              <w:rPr>
                <w:rFonts w:ascii="Calibri" w:hAnsi="Calibri"/>
                <w:b/>
                <w:color w:val="FFFFFF"/>
                <w:sz w:val="18"/>
              </w:rPr>
              <w:t>Top-1</w:t>
            </w:r>
          </w:p>
        </w:tc>
        <w:tc>
          <w:tcPr>
            <w:tcW w:type="dxa" w:w="1150"/>
            <w:shd w:fill="1F4D78"/>
            <w:vAlign w:val="center"/>
          </w:tcPr>
          <w:p>
            <w:pPr>
              <w:spacing w:after="40"/>
              <w:jc w:val="center"/>
            </w:pPr>
            <w:r>
              <w:rPr>
                <w:rFonts w:ascii="Calibri" w:hAnsi="Calibri"/>
                <w:b/>
                <w:color w:val="FFFFFF"/>
                <w:sz w:val="18"/>
              </w:rPr>
              <w:t>Top-3</w:t>
            </w:r>
          </w:p>
        </w:tc>
        <w:tc>
          <w:tcPr>
            <w:tcW w:type="dxa" w:w="1150"/>
            <w:shd w:fill="1F4D78"/>
            <w:vAlign w:val="center"/>
          </w:tcPr>
          <w:p>
            <w:pPr>
              <w:spacing w:after="40"/>
              <w:jc w:val="center"/>
            </w:pPr>
            <w:r>
              <w:rPr>
                <w:rFonts w:ascii="Calibri" w:hAnsi="Calibri"/>
                <w:b/>
                <w:color w:val="FFFFFF"/>
                <w:sz w:val="18"/>
              </w:rPr>
              <w:t>Top-5</w:t>
            </w:r>
          </w:p>
        </w:tc>
        <w:tc>
          <w:tcPr>
            <w:tcW w:type="dxa" w:w="1500"/>
            <w:shd w:fill="1F4D78"/>
            <w:vAlign w:val="center"/>
          </w:tcPr>
          <w:p>
            <w:pPr>
              <w:spacing w:after="40"/>
              <w:jc w:val="center"/>
            </w:pPr>
            <w:r>
              <w:rPr>
                <w:rFonts w:ascii="Calibri" w:hAnsi="Calibri"/>
                <w:b/>
                <w:color w:val="FFFFFF"/>
                <w:sz w:val="18"/>
              </w:rPr>
              <w:t>Stable hit</w:t>
            </w:r>
          </w:p>
        </w:tc>
        <w:tc>
          <w:tcPr>
            <w:tcW w:type="dxa" w:w="1810"/>
            <w:shd w:fill="1F4D78"/>
            <w:vAlign w:val="center"/>
          </w:tcPr>
          <w:p>
            <w:pPr>
              <w:spacing w:after="40"/>
              <w:jc w:val="center"/>
            </w:pPr>
            <w:r>
              <w:rPr>
                <w:rFonts w:ascii="Calibri" w:hAnsi="Calibri"/>
                <w:b/>
                <w:color w:val="FFFFFF"/>
                <w:sz w:val="18"/>
              </w:rPr>
              <w:t>Low confidence</w:t>
            </w:r>
          </w:p>
        </w:tc>
      </w:tr>
      <w:tr>
        <w:trPr>
          <w:cantSplit/>
        </w:trPr>
        <w:tc>
          <w:tcPr>
            <w:tcW w:type="dxa" w:w="1700"/>
            <w:vAlign w:val="center"/>
          </w:tcPr>
          <w:p>
            <w:pPr>
              <w:spacing w:after="40"/>
            </w:pPr>
            <w:r>
              <w:rPr>
                <w:rFonts w:ascii="Calibri" w:hAnsi="Calibri"/>
                <w:color w:val="1E1E1E"/>
                <w:sz w:val="17"/>
              </w:rPr>
              <w:t>Electronic</w:t>
            </w:r>
          </w:p>
        </w:tc>
        <w:tc>
          <w:tcPr>
            <w:tcW w:type="dxa" w:w="900"/>
            <w:vAlign w:val="center"/>
          </w:tcPr>
          <w:p>
            <w:pPr>
              <w:spacing w:after="40"/>
            </w:pPr>
            <w:r>
              <w:rPr>
                <w:rFonts w:ascii="Calibri" w:hAnsi="Calibri"/>
                <w:color w:val="1E1E1E"/>
                <w:sz w:val="17"/>
              </w:rPr>
              <w:t>10</w:t>
            </w:r>
          </w:p>
        </w:tc>
        <w:tc>
          <w:tcPr>
            <w:tcW w:type="dxa" w:w="1150"/>
            <w:vAlign w:val="center"/>
          </w:tcPr>
          <w:p>
            <w:pPr>
              <w:spacing w:after="40"/>
            </w:pPr>
            <w:r>
              <w:rPr>
                <w:rFonts w:ascii="Calibri" w:hAnsi="Calibri"/>
                <w:color w:val="1E1E1E"/>
                <w:sz w:val="17"/>
              </w:rPr>
              <w:t>20.0%</w:t>
            </w:r>
          </w:p>
        </w:tc>
        <w:tc>
          <w:tcPr>
            <w:tcW w:type="dxa" w:w="1150"/>
            <w:vAlign w:val="center"/>
          </w:tcPr>
          <w:p>
            <w:pPr>
              <w:spacing w:after="40"/>
            </w:pPr>
            <w:r>
              <w:rPr>
                <w:rFonts w:ascii="Calibri" w:hAnsi="Calibri"/>
                <w:color w:val="1E1E1E"/>
                <w:sz w:val="17"/>
              </w:rPr>
              <w:t>90.0%</w:t>
            </w:r>
          </w:p>
        </w:tc>
        <w:tc>
          <w:tcPr>
            <w:tcW w:type="dxa" w:w="1150"/>
            <w:vAlign w:val="center"/>
          </w:tcPr>
          <w:p>
            <w:pPr>
              <w:spacing w:after="40"/>
            </w:pPr>
            <w:r>
              <w:rPr>
                <w:rFonts w:ascii="Calibri" w:hAnsi="Calibri"/>
                <w:color w:val="1E1E1E"/>
                <w:sz w:val="17"/>
              </w:rPr>
              <w:t>90.0%</w:t>
            </w:r>
          </w:p>
        </w:tc>
        <w:tc>
          <w:tcPr>
            <w:tcW w:type="dxa" w:w="1500"/>
            <w:vAlign w:val="center"/>
          </w:tcPr>
          <w:p>
            <w:pPr>
              <w:spacing w:after="40"/>
            </w:pPr>
            <w:r>
              <w:rPr>
                <w:rFonts w:ascii="Calibri" w:hAnsi="Calibri"/>
                <w:color w:val="1E1E1E"/>
                <w:sz w:val="17"/>
              </w:rPr>
              <w:t>90.0%</w:t>
            </w:r>
          </w:p>
        </w:tc>
        <w:tc>
          <w:tcPr>
            <w:tcW w:type="dxa" w:w="1810"/>
            <w:vAlign w:val="center"/>
          </w:tcPr>
          <w:p>
            <w:pPr>
              <w:spacing w:after="40"/>
            </w:pPr>
            <w:r>
              <w:rPr>
                <w:rFonts w:ascii="Calibri" w:hAnsi="Calibri"/>
                <w:color w:val="1E1E1E"/>
                <w:sz w:val="17"/>
              </w:rPr>
              <w:t>50.0%</w:t>
            </w:r>
          </w:p>
        </w:tc>
      </w:tr>
      <w:tr>
        <w:trPr>
          <w:cantSplit/>
        </w:trPr>
        <w:tc>
          <w:tcPr>
            <w:tcW w:type="dxa" w:w="1700"/>
            <w:vAlign w:val="center"/>
          </w:tcPr>
          <w:p>
            <w:pPr>
              <w:spacing w:after="40"/>
            </w:pPr>
            <w:r>
              <w:rPr>
                <w:rFonts w:ascii="Calibri" w:hAnsi="Calibri"/>
                <w:color w:val="1E1E1E"/>
                <w:sz w:val="17"/>
              </w:rPr>
              <w:t>Experimental</w:t>
            </w:r>
          </w:p>
        </w:tc>
        <w:tc>
          <w:tcPr>
            <w:tcW w:type="dxa" w:w="900"/>
            <w:vAlign w:val="center"/>
          </w:tcPr>
          <w:p>
            <w:pPr>
              <w:spacing w:after="40"/>
            </w:pPr>
            <w:r>
              <w:rPr>
                <w:rFonts w:ascii="Calibri" w:hAnsi="Calibri"/>
                <w:color w:val="1E1E1E"/>
                <w:sz w:val="17"/>
              </w:rPr>
              <w:t>10</w:t>
            </w:r>
          </w:p>
        </w:tc>
        <w:tc>
          <w:tcPr>
            <w:tcW w:type="dxa" w:w="1150"/>
            <w:vAlign w:val="center"/>
          </w:tcPr>
          <w:p>
            <w:pPr>
              <w:spacing w:after="40"/>
            </w:pPr>
            <w:r>
              <w:rPr>
                <w:rFonts w:ascii="Calibri" w:hAnsi="Calibri"/>
                <w:color w:val="1E1E1E"/>
                <w:sz w:val="17"/>
              </w:rPr>
              <w:t>60.0%</w:t>
            </w:r>
          </w:p>
        </w:tc>
        <w:tc>
          <w:tcPr>
            <w:tcW w:type="dxa" w:w="1150"/>
            <w:vAlign w:val="center"/>
          </w:tcPr>
          <w:p>
            <w:pPr>
              <w:spacing w:after="40"/>
            </w:pPr>
            <w:r>
              <w:rPr>
                <w:rFonts w:ascii="Calibri" w:hAnsi="Calibri"/>
                <w:color w:val="1E1E1E"/>
                <w:sz w:val="17"/>
              </w:rPr>
              <w:t>100.0%</w:t>
            </w:r>
          </w:p>
        </w:tc>
        <w:tc>
          <w:tcPr>
            <w:tcW w:type="dxa" w:w="1150"/>
            <w:vAlign w:val="center"/>
          </w:tcPr>
          <w:p>
            <w:pPr>
              <w:spacing w:after="40"/>
            </w:pPr>
            <w:r>
              <w:rPr>
                <w:rFonts w:ascii="Calibri" w:hAnsi="Calibri"/>
                <w:color w:val="1E1E1E"/>
                <w:sz w:val="17"/>
              </w:rPr>
              <w:t>100.0%</w:t>
            </w:r>
          </w:p>
        </w:tc>
        <w:tc>
          <w:tcPr>
            <w:tcW w:type="dxa" w:w="1500"/>
            <w:vAlign w:val="center"/>
          </w:tcPr>
          <w:p>
            <w:pPr>
              <w:spacing w:after="40"/>
            </w:pPr>
            <w:r>
              <w:rPr>
                <w:rFonts w:ascii="Calibri" w:hAnsi="Calibri"/>
                <w:color w:val="1E1E1E"/>
                <w:sz w:val="17"/>
              </w:rPr>
              <w:t>100.0%</w:t>
            </w:r>
          </w:p>
        </w:tc>
        <w:tc>
          <w:tcPr>
            <w:tcW w:type="dxa" w:w="1810"/>
            <w:vAlign w:val="center"/>
          </w:tcPr>
          <w:p>
            <w:pPr>
              <w:spacing w:after="40"/>
            </w:pPr>
            <w:r>
              <w:rPr>
                <w:rFonts w:ascii="Calibri" w:hAnsi="Calibri"/>
                <w:color w:val="1E1E1E"/>
                <w:sz w:val="17"/>
              </w:rPr>
              <w:t>50.0%</w:t>
            </w:r>
          </w:p>
        </w:tc>
      </w:tr>
      <w:tr>
        <w:trPr>
          <w:cantSplit/>
        </w:trPr>
        <w:tc>
          <w:tcPr>
            <w:tcW w:type="dxa" w:w="1700"/>
            <w:vAlign w:val="center"/>
          </w:tcPr>
          <w:p>
            <w:pPr>
              <w:spacing w:after="40"/>
            </w:pPr>
            <w:r>
              <w:rPr>
                <w:rFonts w:ascii="Calibri" w:hAnsi="Calibri"/>
                <w:color w:val="1E1E1E"/>
                <w:sz w:val="17"/>
              </w:rPr>
              <w:t>Folk</w:t>
            </w:r>
          </w:p>
        </w:tc>
        <w:tc>
          <w:tcPr>
            <w:tcW w:type="dxa" w:w="900"/>
            <w:vAlign w:val="center"/>
          </w:tcPr>
          <w:p>
            <w:pPr>
              <w:spacing w:after="40"/>
            </w:pPr>
            <w:r>
              <w:rPr>
                <w:rFonts w:ascii="Calibri" w:hAnsi="Calibri"/>
                <w:color w:val="1E1E1E"/>
                <w:sz w:val="17"/>
              </w:rPr>
              <w:t>10</w:t>
            </w:r>
          </w:p>
        </w:tc>
        <w:tc>
          <w:tcPr>
            <w:tcW w:type="dxa" w:w="1150"/>
            <w:vAlign w:val="center"/>
          </w:tcPr>
          <w:p>
            <w:pPr>
              <w:spacing w:after="40"/>
            </w:pPr>
            <w:r>
              <w:rPr>
                <w:rFonts w:ascii="Calibri" w:hAnsi="Calibri"/>
                <w:color w:val="1E1E1E"/>
                <w:sz w:val="17"/>
              </w:rPr>
              <w:t>20.0%</w:t>
            </w:r>
          </w:p>
        </w:tc>
        <w:tc>
          <w:tcPr>
            <w:tcW w:type="dxa" w:w="1150"/>
            <w:vAlign w:val="center"/>
          </w:tcPr>
          <w:p>
            <w:pPr>
              <w:spacing w:after="40"/>
            </w:pPr>
            <w:r>
              <w:rPr>
                <w:rFonts w:ascii="Calibri" w:hAnsi="Calibri"/>
                <w:color w:val="1E1E1E"/>
                <w:sz w:val="17"/>
              </w:rPr>
              <w:t>70.0%</w:t>
            </w:r>
          </w:p>
        </w:tc>
        <w:tc>
          <w:tcPr>
            <w:tcW w:type="dxa" w:w="1150"/>
            <w:vAlign w:val="center"/>
          </w:tcPr>
          <w:p>
            <w:pPr>
              <w:spacing w:after="40"/>
            </w:pPr>
            <w:r>
              <w:rPr>
                <w:rFonts w:ascii="Calibri" w:hAnsi="Calibri"/>
                <w:color w:val="1E1E1E"/>
                <w:sz w:val="17"/>
              </w:rPr>
              <w:t>70.0%</w:t>
            </w:r>
          </w:p>
        </w:tc>
        <w:tc>
          <w:tcPr>
            <w:tcW w:type="dxa" w:w="1500"/>
            <w:vAlign w:val="center"/>
          </w:tcPr>
          <w:p>
            <w:pPr>
              <w:spacing w:after="40"/>
            </w:pPr>
            <w:r>
              <w:rPr>
                <w:rFonts w:ascii="Calibri" w:hAnsi="Calibri"/>
                <w:color w:val="1E1E1E"/>
                <w:sz w:val="17"/>
              </w:rPr>
              <w:t>70.0%</w:t>
            </w:r>
          </w:p>
        </w:tc>
        <w:tc>
          <w:tcPr>
            <w:tcW w:type="dxa" w:w="1810"/>
            <w:vAlign w:val="center"/>
          </w:tcPr>
          <w:p>
            <w:pPr>
              <w:spacing w:after="40"/>
            </w:pPr>
            <w:r>
              <w:rPr>
                <w:rFonts w:ascii="Calibri" w:hAnsi="Calibri"/>
                <w:color w:val="1E1E1E"/>
                <w:sz w:val="17"/>
              </w:rPr>
              <w:t>60.0%</w:t>
            </w:r>
          </w:p>
        </w:tc>
      </w:tr>
      <w:tr>
        <w:trPr>
          <w:cantSplit/>
        </w:trPr>
        <w:tc>
          <w:tcPr>
            <w:tcW w:type="dxa" w:w="1700"/>
            <w:vAlign w:val="center"/>
          </w:tcPr>
          <w:p>
            <w:pPr>
              <w:spacing w:after="40"/>
            </w:pPr>
            <w:r>
              <w:rPr>
                <w:rFonts w:ascii="Calibri" w:hAnsi="Calibri"/>
                <w:color w:val="1E1E1E"/>
                <w:sz w:val="17"/>
              </w:rPr>
              <w:t>Hip-Hop</w:t>
            </w:r>
          </w:p>
        </w:tc>
        <w:tc>
          <w:tcPr>
            <w:tcW w:type="dxa" w:w="900"/>
            <w:vAlign w:val="center"/>
          </w:tcPr>
          <w:p>
            <w:pPr>
              <w:spacing w:after="40"/>
            </w:pPr>
            <w:r>
              <w:rPr>
                <w:rFonts w:ascii="Calibri" w:hAnsi="Calibri"/>
                <w:color w:val="1E1E1E"/>
                <w:sz w:val="17"/>
              </w:rPr>
              <w:t>10</w:t>
            </w:r>
          </w:p>
        </w:tc>
        <w:tc>
          <w:tcPr>
            <w:tcW w:type="dxa" w:w="1150"/>
            <w:vAlign w:val="center"/>
          </w:tcPr>
          <w:p>
            <w:pPr>
              <w:spacing w:after="40"/>
            </w:pPr>
            <w:r>
              <w:rPr>
                <w:rFonts w:ascii="Calibri" w:hAnsi="Calibri"/>
                <w:color w:val="1E1E1E"/>
                <w:sz w:val="17"/>
              </w:rPr>
              <w:t>10.0%</w:t>
            </w:r>
          </w:p>
        </w:tc>
        <w:tc>
          <w:tcPr>
            <w:tcW w:type="dxa" w:w="1150"/>
            <w:vAlign w:val="center"/>
          </w:tcPr>
          <w:p>
            <w:pPr>
              <w:spacing w:after="40"/>
            </w:pPr>
            <w:r>
              <w:rPr>
                <w:rFonts w:ascii="Calibri" w:hAnsi="Calibri"/>
                <w:color w:val="1E1E1E"/>
                <w:sz w:val="17"/>
              </w:rPr>
              <w:t>40.0%</w:t>
            </w:r>
          </w:p>
        </w:tc>
        <w:tc>
          <w:tcPr>
            <w:tcW w:type="dxa" w:w="1150"/>
            <w:vAlign w:val="center"/>
          </w:tcPr>
          <w:p>
            <w:pPr>
              <w:spacing w:after="40"/>
            </w:pPr>
            <w:r>
              <w:rPr>
                <w:rFonts w:ascii="Calibri" w:hAnsi="Calibri"/>
                <w:color w:val="1E1E1E"/>
                <w:sz w:val="17"/>
              </w:rPr>
              <w:t>70.0%</w:t>
            </w:r>
          </w:p>
        </w:tc>
        <w:tc>
          <w:tcPr>
            <w:tcW w:type="dxa" w:w="1500"/>
            <w:vAlign w:val="center"/>
          </w:tcPr>
          <w:p>
            <w:pPr>
              <w:spacing w:after="40"/>
            </w:pPr>
            <w:r>
              <w:rPr>
                <w:rFonts w:ascii="Calibri" w:hAnsi="Calibri"/>
                <w:color w:val="1E1E1E"/>
                <w:sz w:val="17"/>
              </w:rPr>
              <w:t>40.0%</w:t>
            </w:r>
          </w:p>
        </w:tc>
        <w:tc>
          <w:tcPr>
            <w:tcW w:type="dxa" w:w="1810"/>
            <w:vAlign w:val="center"/>
          </w:tcPr>
          <w:p>
            <w:pPr>
              <w:spacing w:after="40"/>
            </w:pPr>
            <w:r>
              <w:rPr>
                <w:rFonts w:ascii="Calibri" w:hAnsi="Calibri"/>
                <w:color w:val="1E1E1E"/>
                <w:sz w:val="17"/>
              </w:rPr>
              <w:t>70.0%</w:t>
            </w:r>
          </w:p>
        </w:tc>
      </w:tr>
      <w:tr>
        <w:trPr>
          <w:cantSplit/>
        </w:trPr>
        <w:tc>
          <w:tcPr>
            <w:tcW w:type="dxa" w:w="1700"/>
            <w:vAlign w:val="center"/>
          </w:tcPr>
          <w:p>
            <w:pPr>
              <w:spacing w:after="40"/>
            </w:pPr>
            <w:r>
              <w:rPr>
                <w:rFonts w:ascii="Calibri" w:hAnsi="Calibri"/>
                <w:color w:val="1E1E1E"/>
                <w:sz w:val="17"/>
              </w:rPr>
              <w:t>Pop</w:t>
            </w:r>
          </w:p>
        </w:tc>
        <w:tc>
          <w:tcPr>
            <w:tcW w:type="dxa" w:w="900"/>
            <w:vAlign w:val="center"/>
          </w:tcPr>
          <w:p>
            <w:pPr>
              <w:spacing w:after="40"/>
            </w:pPr>
            <w:r>
              <w:rPr>
                <w:rFonts w:ascii="Calibri" w:hAnsi="Calibri"/>
                <w:color w:val="1E1E1E"/>
                <w:sz w:val="17"/>
              </w:rPr>
              <w:t>10</w:t>
            </w:r>
          </w:p>
        </w:tc>
        <w:tc>
          <w:tcPr>
            <w:tcW w:type="dxa" w:w="1150"/>
            <w:vAlign w:val="center"/>
          </w:tcPr>
          <w:p>
            <w:pPr>
              <w:spacing w:after="40"/>
            </w:pPr>
            <w:r>
              <w:rPr>
                <w:rFonts w:ascii="Calibri" w:hAnsi="Calibri"/>
                <w:color w:val="1E1E1E"/>
                <w:sz w:val="17"/>
              </w:rPr>
              <w:t>0.0%</w:t>
            </w:r>
          </w:p>
        </w:tc>
        <w:tc>
          <w:tcPr>
            <w:tcW w:type="dxa" w:w="1150"/>
            <w:vAlign w:val="center"/>
          </w:tcPr>
          <w:p>
            <w:pPr>
              <w:spacing w:after="40"/>
            </w:pPr>
            <w:r>
              <w:rPr>
                <w:rFonts w:ascii="Calibri" w:hAnsi="Calibri"/>
                <w:color w:val="1E1E1E"/>
                <w:sz w:val="17"/>
              </w:rPr>
              <w:t>0.0%</w:t>
            </w:r>
          </w:p>
        </w:tc>
        <w:tc>
          <w:tcPr>
            <w:tcW w:type="dxa" w:w="1150"/>
            <w:vAlign w:val="center"/>
          </w:tcPr>
          <w:p>
            <w:pPr>
              <w:spacing w:after="40"/>
            </w:pPr>
            <w:r>
              <w:rPr>
                <w:rFonts w:ascii="Calibri" w:hAnsi="Calibri"/>
                <w:color w:val="1E1E1E"/>
                <w:sz w:val="17"/>
              </w:rPr>
              <w:t>70.0%</w:t>
            </w:r>
          </w:p>
        </w:tc>
        <w:tc>
          <w:tcPr>
            <w:tcW w:type="dxa" w:w="1500"/>
            <w:vAlign w:val="center"/>
          </w:tcPr>
          <w:p>
            <w:pPr>
              <w:spacing w:after="40"/>
            </w:pPr>
            <w:r>
              <w:rPr>
                <w:rFonts w:ascii="Calibri" w:hAnsi="Calibri"/>
                <w:color w:val="1E1E1E"/>
                <w:sz w:val="17"/>
              </w:rPr>
              <w:t>0.0%</w:t>
            </w:r>
          </w:p>
        </w:tc>
        <w:tc>
          <w:tcPr>
            <w:tcW w:type="dxa" w:w="1810"/>
            <w:vAlign w:val="center"/>
          </w:tcPr>
          <w:p>
            <w:pPr>
              <w:spacing w:after="40"/>
            </w:pPr>
            <w:r>
              <w:rPr>
                <w:rFonts w:ascii="Calibri" w:hAnsi="Calibri"/>
                <w:color w:val="1E1E1E"/>
                <w:sz w:val="17"/>
              </w:rPr>
              <w:t>30.0%</w:t>
            </w:r>
          </w:p>
        </w:tc>
      </w:tr>
      <w:tr>
        <w:trPr>
          <w:cantSplit/>
        </w:trPr>
        <w:tc>
          <w:tcPr>
            <w:tcW w:type="dxa" w:w="1700"/>
            <w:vAlign w:val="center"/>
          </w:tcPr>
          <w:p>
            <w:pPr>
              <w:spacing w:after="40"/>
            </w:pPr>
            <w:r>
              <w:rPr>
                <w:rFonts w:ascii="Calibri" w:hAnsi="Calibri"/>
                <w:color w:val="1E1E1E"/>
                <w:sz w:val="17"/>
              </w:rPr>
              <w:t>Rock</w:t>
            </w:r>
          </w:p>
        </w:tc>
        <w:tc>
          <w:tcPr>
            <w:tcW w:type="dxa" w:w="900"/>
            <w:vAlign w:val="center"/>
          </w:tcPr>
          <w:p>
            <w:pPr>
              <w:spacing w:after="40"/>
            </w:pPr>
            <w:r>
              <w:rPr>
                <w:rFonts w:ascii="Calibri" w:hAnsi="Calibri"/>
                <w:color w:val="1E1E1E"/>
                <w:sz w:val="17"/>
              </w:rPr>
              <w:t>10</w:t>
            </w:r>
          </w:p>
        </w:tc>
        <w:tc>
          <w:tcPr>
            <w:tcW w:type="dxa" w:w="1150"/>
            <w:vAlign w:val="center"/>
          </w:tcPr>
          <w:p>
            <w:pPr>
              <w:spacing w:after="40"/>
            </w:pPr>
            <w:r>
              <w:rPr>
                <w:rFonts w:ascii="Calibri" w:hAnsi="Calibri"/>
                <w:color w:val="1E1E1E"/>
                <w:sz w:val="17"/>
              </w:rPr>
              <w:t>20.0%</w:t>
            </w:r>
          </w:p>
        </w:tc>
        <w:tc>
          <w:tcPr>
            <w:tcW w:type="dxa" w:w="1150"/>
            <w:vAlign w:val="center"/>
          </w:tcPr>
          <w:p>
            <w:pPr>
              <w:spacing w:after="40"/>
            </w:pPr>
            <w:r>
              <w:rPr>
                <w:rFonts w:ascii="Calibri" w:hAnsi="Calibri"/>
                <w:color w:val="1E1E1E"/>
                <w:sz w:val="17"/>
              </w:rPr>
              <w:t>100.0%</w:t>
            </w:r>
          </w:p>
        </w:tc>
        <w:tc>
          <w:tcPr>
            <w:tcW w:type="dxa" w:w="1150"/>
            <w:vAlign w:val="center"/>
          </w:tcPr>
          <w:p>
            <w:pPr>
              <w:spacing w:after="40"/>
            </w:pPr>
            <w:r>
              <w:rPr>
                <w:rFonts w:ascii="Calibri" w:hAnsi="Calibri"/>
                <w:color w:val="1E1E1E"/>
                <w:sz w:val="17"/>
              </w:rPr>
              <w:t>100.0%</w:t>
            </w:r>
          </w:p>
        </w:tc>
        <w:tc>
          <w:tcPr>
            <w:tcW w:type="dxa" w:w="1500"/>
            <w:vAlign w:val="center"/>
          </w:tcPr>
          <w:p>
            <w:pPr>
              <w:spacing w:after="40"/>
            </w:pPr>
            <w:r>
              <w:rPr>
                <w:rFonts w:ascii="Calibri" w:hAnsi="Calibri"/>
                <w:color w:val="1E1E1E"/>
                <w:sz w:val="17"/>
              </w:rPr>
              <w:t>100.0%</w:t>
            </w:r>
          </w:p>
        </w:tc>
        <w:tc>
          <w:tcPr>
            <w:tcW w:type="dxa" w:w="1810"/>
            <w:vAlign w:val="center"/>
          </w:tcPr>
          <w:p>
            <w:pPr>
              <w:spacing w:after="40"/>
            </w:pPr>
            <w:r>
              <w:rPr>
                <w:rFonts w:ascii="Calibri" w:hAnsi="Calibri"/>
                <w:color w:val="1E1E1E"/>
                <w:sz w:val="17"/>
              </w:rPr>
              <w:t>30.0%</w:t>
            </w:r>
          </w:p>
        </w:tc>
      </w:tr>
    </w:tbl>
    <w:p>
      <w:pPr>
        <w:spacing w:before="0" w:after="80"/>
      </w:pPr>
    </w:p>
    <w:tbl>
      <w:tblPr>
        <w:tblStyle w:val="TableGrid"/>
        <w:tblW w:type="dxa" w:w="9360"/>
        <w:tblLook w:firstColumn="1" w:firstRow="1" w:lastColumn="0" w:lastRow="0" w:noHBand="0" w:noVBand="1" w:val="04A0"/>
        <w:tblInd w:type="dxa" w:w="120"/>
      </w:tblPr>
      <w:tblGrid>
        <w:gridCol w:w="4200"/>
        <w:gridCol w:w="5160"/>
      </w:tblGrid>
      <w:tr>
        <w:trPr>
          <w:cantSplit/>
          <w:tblHeader/>
        </w:trPr>
        <w:tc>
          <w:tcPr>
            <w:tcW w:type="dxa" w:w="4200"/>
            <w:shd w:fill="1F4D78"/>
            <w:vAlign w:val="center"/>
          </w:tcPr>
          <w:p>
            <w:pPr>
              <w:spacing w:after="40"/>
              <w:jc w:val="center"/>
            </w:pPr>
            <w:r>
              <w:rPr>
                <w:rFonts w:ascii="Calibri" w:hAnsi="Calibri"/>
                <w:b/>
                <w:color w:val="FFFFFF"/>
                <w:sz w:val="18"/>
              </w:rPr>
              <w:t>External overall metric</w:t>
            </w:r>
          </w:p>
        </w:tc>
        <w:tc>
          <w:tcPr>
            <w:tcW w:type="dxa" w:w="5160"/>
            <w:shd w:fill="1F4D78"/>
            <w:vAlign w:val="center"/>
          </w:tcPr>
          <w:p>
            <w:pPr>
              <w:spacing w:after="40"/>
              <w:jc w:val="center"/>
            </w:pPr>
            <w:r>
              <w:rPr>
                <w:rFonts w:ascii="Calibri" w:hAnsi="Calibri"/>
                <w:b/>
                <w:color w:val="FFFFFF"/>
                <w:sz w:val="18"/>
              </w:rPr>
              <w:t>Value</w:t>
            </w:r>
          </w:p>
        </w:tc>
      </w:tr>
      <w:tr>
        <w:trPr>
          <w:cantSplit/>
        </w:trPr>
        <w:tc>
          <w:tcPr>
            <w:tcW w:type="dxa" w:w="4200"/>
            <w:vAlign w:val="center"/>
          </w:tcPr>
          <w:p>
            <w:pPr>
              <w:spacing w:after="40"/>
            </w:pPr>
            <w:r>
              <w:rPr>
                <w:rFonts w:ascii="Calibri" w:hAnsi="Calibri"/>
                <w:color w:val="1E1E1E"/>
                <w:sz w:val="17"/>
              </w:rPr>
              <w:t>Songs attempted</w:t>
            </w:r>
          </w:p>
        </w:tc>
        <w:tc>
          <w:tcPr>
            <w:tcW w:type="dxa" w:w="5160"/>
            <w:vAlign w:val="center"/>
          </w:tcPr>
          <w:p>
            <w:pPr>
              <w:spacing w:after="40"/>
            </w:pPr>
            <w:r>
              <w:rPr>
                <w:rFonts w:ascii="Calibri" w:hAnsi="Calibri"/>
                <w:color w:val="1E1E1E"/>
                <w:sz w:val="17"/>
              </w:rPr>
              <w:t>60</w:t>
            </w:r>
          </w:p>
        </w:tc>
      </w:tr>
      <w:tr>
        <w:trPr>
          <w:cantSplit/>
        </w:trPr>
        <w:tc>
          <w:tcPr>
            <w:tcW w:type="dxa" w:w="4200"/>
            <w:vAlign w:val="center"/>
          </w:tcPr>
          <w:p>
            <w:pPr>
              <w:spacing w:after="40"/>
            </w:pPr>
            <w:r>
              <w:rPr>
                <w:rFonts w:ascii="Calibri" w:hAnsi="Calibri"/>
                <w:color w:val="1E1E1E"/>
                <w:sz w:val="17"/>
              </w:rPr>
              <w:t>Successful songs</w:t>
            </w:r>
          </w:p>
        </w:tc>
        <w:tc>
          <w:tcPr>
            <w:tcW w:type="dxa" w:w="5160"/>
            <w:vAlign w:val="center"/>
          </w:tcPr>
          <w:p>
            <w:pPr>
              <w:spacing w:after="40"/>
            </w:pPr>
            <w:r>
              <w:rPr>
                <w:rFonts w:ascii="Calibri" w:hAnsi="Calibri"/>
                <w:color w:val="1E1E1E"/>
                <w:sz w:val="17"/>
              </w:rPr>
              <w:t>60</w:t>
            </w:r>
          </w:p>
        </w:tc>
      </w:tr>
      <w:tr>
        <w:trPr>
          <w:cantSplit/>
        </w:trPr>
        <w:tc>
          <w:tcPr>
            <w:tcW w:type="dxa" w:w="4200"/>
            <w:vAlign w:val="center"/>
          </w:tcPr>
          <w:p>
            <w:pPr>
              <w:spacing w:after="40"/>
            </w:pPr>
            <w:r>
              <w:rPr>
                <w:rFonts w:ascii="Calibri" w:hAnsi="Calibri"/>
                <w:color w:val="1E1E1E"/>
                <w:sz w:val="17"/>
              </w:rPr>
              <w:t>Errors</w:t>
            </w:r>
          </w:p>
        </w:tc>
        <w:tc>
          <w:tcPr>
            <w:tcW w:type="dxa" w:w="5160"/>
            <w:vAlign w:val="center"/>
          </w:tcPr>
          <w:p>
            <w:pPr>
              <w:spacing w:after="40"/>
            </w:pPr>
            <w:r>
              <w:rPr>
                <w:rFonts w:ascii="Calibri" w:hAnsi="Calibri"/>
                <w:color w:val="1E1E1E"/>
                <w:sz w:val="17"/>
              </w:rPr>
              <w:t>0</w:t>
            </w:r>
          </w:p>
        </w:tc>
      </w:tr>
      <w:tr>
        <w:trPr>
          <w:cantSplit/>
        </w:trPr>
        <w:tc>
          <w:tcPr>
            <w:tcW w:type="dxa" w:w="4200"/>
            <w:vAlign w:val="center"/>
          </w:tcPr>
          <w:p>
            <w:pPr>
              <w:spacing w:after="40"/>
            </w:pPr>
            <w:r>
              <w:rPr>
                <w:rFonts w:ascii="Calibri" w:hAnsi="Calibri"/>
                <w:color w:val="1E1E1E"/>
                <w:sz w:val="17"/>
              </w:rPr>
              <w:t>Top-1 hit rate</w:t>
            </w:r>
          </w:p>
        </w:tc>
        <w:tc>
          <w:tcPr>
            <w:tcW w:type="dxa" w:w="5160"/>
            <w:vAlign w:val="center"/>
          </w:tcPr>
          <w:p>
            <w:pPr>
              <w:spacing w:after="40"/>
            </w:pPr>
            <w:r>
              <w:rPr>
                <w:rFonts w:ascii="Calibri" w:hAnsi="Calibri"/>
                <w:color w:val="1E1E1E"/>
                <w:sz w:val="17"/>
              </w:rPr>
              <w:t>21.7%</w:t>
            </w:r>
          </w:p>
        </w:tc>
      </w:tr>
      <w:tr>
        <w:trPr>
          <w:cantSplit/>
        </w:trPr>
        <w:tc>
          <w:tcPr>
            <w:tcW w:type="dxa" w:w="4200"/>
            <w:vAlign w:val="center"/>
          </w:tcPr>
          <w:p>
            <w:pPr>
              <w:spacing w:after="40"/>
            </w:pPr>
            <w:r>
              <w:rPr>
                <w:rFonts w:ascii="Calibri" w:hAnsi="Calibri"/>
                <w:color w:val="1E1E1E"/>
                <w:sz w:val="17"/>
              </w:rPr>
              <w:t>Top-3 hit rate</w:t>
            </w:r>
          </w:p>
        </w:tc>
        <w:tc>
          <w:tcPr>
            <w:tcW w:type="dxa" w:w="5160"/>
            <w:vAlign w:val="center"/>
          </w:tcPr>
          <w:p>
            <w:pPr>
              <w:spacing w:after="40"/>
            </w:pPr>
            <w:r>
              <w:rPr>
                <w:rFonts w:ascii="Calibri" w:hAnsi="Calibri"/>
                <w:color w:val="1E1E1E"/>
                <w:sz w:val="17"/>
              </w:rPr>
              <w:t>66.7%</w:t>
            </w:r>
          </w:p>
        </w:tc>
      </w:tr>
      <w:tr>
        <w:trPr>
          <w:cantSplit/>
        </w:trPr>
        <w:tc>
          <w:tcPr>
            <w:tcW w:type="dxa" w:w="4200"/>
            <w:vAlign w:val="center"/>
          </w:tcPr>
          <w:p>
            <w:pPr>
              <w:spacing w:after="40"/>
            </w:pPr>
            <w:r>
              <w:rPr>
                <w:rFonts w:ascii="Calibri" w:hAnsi="Calibri"/>
                <w:color w:val="1E1E1E"/>
                <w:sz w:val="17"/>
              </w:rPr>
              <w:t>Top-5 hit rate</w:t>
            </w:r>
          </w:p>
        </w:tc>
        <w:tc>
          <w:tcPr>
            <w:tcW w:type="dxa" w:w="5160"/>
            <w:vAlign w:val="center"/>
          </w:tcPr>
          <w:p>
            <w:pPr>
              <w:spacing w:after="40"/>
            </w:pPr>
            <w:r>
              <w:rPr>
                <w:rFonts w:ascii="Calibri" w:hAnsi="Calibri"/>
                <w:color w:val="1E1E1E"/>
                <w:sz w:val="17"/>
              </w:rPr>
              <w:t>83.3%</w:t>
            </w:r>
          </w:p>
        </w:tc>
      </w:tr>
      <w:tr>
        <w:trPr>
          <w:cantSplit/>
        </w:trPr>
        <w:tc>
          <w:tcPr>
            <w:tcW w:type="dxa" w:w="4200"/>
            <w:vAlign w:val="center"/>
          </w:tcPr>
          <w:p>
            <w:pPr>
              <w:spacing w:after="40"/>
            </w:pPr>
            <w:r>
              <w:rPr>
                <w:rFonts w:ascii="Calibri" w:hAnsi="Calibri"/>
                <w:color w:val="1E1E1E"/>
                <w:sz w:val="17"/>
              </w:rPr>
              <w:t>Stable prediction hit rate</w:t>
            </w:r>
          </w:p>
        </w:tc>
        <w:tc>
          <w:tcPr>
            <w:tcW w:type="dxa" w:w="5160"/>
            <w:vAlign w:val="center"/>
          </w:tcPr>
          <w:p>
            <w:pPr>
              <w:spacing w:after="40"/>
            </w:pPr>
            <w:r>
              <w:rPr>
                <w:rFonts w:ascii="Calibri" w:hAnsi="Calibri"/>
                <w:color w:val="1E1E1E"/>
                <w:sz w:val="17"/>
              </w:rPr>
              <w:t>66.7%</w:t>
            </w:r>
          </w:p>
        </w:tc>
      </w:tr>
      <w:tr>
        <w:trPr>
          <w:cantSplit/>
        </w:trPr>
        <w:tc>
          <w:tcPr>
            <w:tcW w:type="dxa" w:w="4200"/>
            <w:vAlign w:val="center"/>
          </w:tcPr>
          <w:p>
            <w:pPr>
              <w:spacing w:after="40"/>
            </w:pPr>
            <w:r>
              <w:rPr>
                <w:rFonts w:ascii="Calibri" w:hAnsi="Calibri"/>
                <w:color w:val="1E1E1E"/>
                <w:sz w:val="17"/>
              </w:rPr>
              <w:t>Average main score</w:t>
            </w:r>
          </w:p>
        </w:tc>
        <w:tc>
          <w:tcPr>
            <w:tcW w:type="dxa" w:w="5160"/>
            <w:vAlign w:val="center"/>
          </w:tcPr>
          <w:p>
            <w:pPr>
              <w:spacing w:after="40"/>
            </w:pPr>
            <w:r>
              <w:rPr>
                <w:rFonts w:ascii="Calibri" w:hAnsi="Calibri"/>
                <w:color w:val="1E1E1E"/>
                <w:sz w:val="17"/>
              </w:rPr>
              <w:t>0.512</w:t>
            </w:r>
          </w:p>
        </w:tc>
      </w:tr>
      <w:tr>
        <w:trPr>
          <w:cantSplit/>
        </w:trPr>
        <w:tc>
          <w:tcPr>
            <w:tcW w:type="dxa" w:w="4200"/>
            <w:vAlign w:val="center"/>
          </w:tcPr>
          <w:p>
            <w:pPr>
              <w:spacing w:after="40"/>
            </w:pPr>
            <w:r>
              <w:rPr>
                <w:rFonts w:ascii="Calibri" w:hAnsi="Calibri"/>
                <w:color w:val="1E1E1E"/>
                <w:sz w:val="17"/>
              </w:rPr>
              <w:t>Low-confidence rate</w:t>
            </w:r>
          </w:p>
        </w:tc>
        <w:tc>
          <w:tcPr>
            <w:tcW w:type="dxa" w:w="5160"/>
            <w:vAlign w:val="center"/>
          </w:tcPr>
          <w:p>
            <w:pPr>
              <w:spacing w:after="40"/>
            </w:pPr>
            <w:r>
              <w:rPr>
                <w:rFonts w:ascii="Calibri" w:hAnsi="Calibri"/>
                <w:color w:val="1E1E1E"/>
                <w:sz w:val="17"/>
              </w:rPr>
              <w:t>48.3%</w:t>
            </w:r>
          </w:p>
        </w:tc>
      </w:tr>
    </w:tbl>
    <w:p>
      <w:pPr>
        <w:spacing w:before="0" w:after="80"/>
      </w:pPr>
    </w:p>
    <w:p>
      <w:pPr>
        <w:jc w:val="center"/>
      </w:pPr>
      <w:r/>
    </w:p>
    <w:p>
      <w:pPr>
        <w:spacing w:after="160"/>
        <w:jc w:val="center"/>
      </w:pPr>
      <w:r>
        <w:rPr>
          <w:rFonts w:ascii="Calibri" w:hAnsi="Calibri"/>
          <w:i/>
          <w:color w:val="5A5A5A"/>
          <w:sz w:val="18"/>
        </w:rPr>
        <w:t>Figure 6. Main prediction distribution for external songs.</w:t>
      </w:r>
    </w:p>
    <w:p>
      <w:pPr/>
      <w:r>
        <w:t>Figure 6 gives context for the external error pattern. The concentration of broad predictions suggests that the model sometimes favours general FMA labels when external audio does not match the training distribution closely.</w:t>
      </w:r>
    </w:p>
    <w:p>
      <w:r>
        <w:t>The external test shows the practical weakness most clearly. Top-1 accuracy is low. Top-3 and Top-5 results are much more useful. That pattern fits the task. External songs do not always sound like the FMA training tracks, and accepted genres may be broader than a single label. The result is still useful if the model is treated as a ranking tool rather than a final judge.</w:t>
      </w:r>
    </w:p>
    <w:p>
      <w:pPr>
        <w:pStyle w:val="Heading2"/>
      </w:pPr>
      <w:r>
        <w:t>10.1 Reading the External Results Carefully</w:t>
      </w:r>
    </w:p>
    <w:p>
      <w:pPr/>
      <w:r>
        <w:t>The external batch should be read as a stress test, not as a clean copy of the FMA test split. The songs came from open-licence external sources, and their genre labels were mapped to acceptable FMA labels through a manifest. That mapping is useful, but it is still less controlled than the original dataset labels.</w:t>
      </w:r>
    </w:p>
    <w:p>
      <w:pPr/>
      <w:r>
        <w:t>The main weakness was broad-label attraction. Experimental appeared often as a main prediction. This does not make the whole system unusable, but it shows that confidence thresholds and genre-family constraints would be needed before using the model for catalogue tagging.</w:t>
      </w:r>
    </w:p>
    <w:p>
      <w:pPr/>
      <w:r>
        <w:t>External evaluation was included because a model can look strong on a held-out dataset split and still behave differently on songs collected elsewhere. The external batch used legal open-licence songs and accepted-genre mappings so that the test could be audited. This made the test more realistic, but also less controlled than FMA. Audio quality, genre naming, mixing style, and metadata expectations may all differ from the training environment.</w:t>
      </w:r>
    </w:p>
    <w:p>
      <w:pPr/>
      <w:r>
        <w:t>The external results therefore act as a boundary check. Top-1 of 21.7% is not strong enough for automatic tagging. Top-3 of 63.3% and Top-5 of 83.3% are more useful because they show that the correct family often appears in the ranked list. The practical reading is that a demo should show several candidates with scores, not only one label. This is also why a low-confidence flag belongs in the final presentation.</w:t>
      </w:r>
    </w:p>
    <w:p>
      <w:pPr/>
      <w:r>
        <w:t>An alternative approach would have been to train or fine-tune on the external songs, but that would have weakened the purpose of the test. The point of Notebook 50 was to see how the existing FMA-trained system transferred to new audio. A larger future study could add a separate external validation set, but the current result is still useful because it exposes the gap between internal test performance and deployment-style behaviour.</w:t>
      </w:r>
    </w:p>
    <w:p>
      <w:pPr>
        <w:pStyle w:val="Heading1"/>
      </w:pPr>
      <w:r>
        <w:t>11. Limitations, Risks, and Honest Interpretation</w:t>
      </w:r>
    </w:p>
    <w:tbl>
      <w:tblPr>
        <w:tblStyle w:val="TableGrid"/>
        <w:tblW w:type="dxa" w:w="9360"/>
        <w:tblLook w:firstColumn="1" w:firstRow="1" w:lastColumn="0" w:lastRow="0" w:noHBand="0" w:noVBand="1" w:val="04A0"/>
        <w:tblInd w:type="dxa" w:w="120"/>
      </w:tblPr>
      <w:tblGrid>
        <w:gridCol w:w="1800"/>
        <w:gridCol w:w="3400"/>
        <w:gridCol w:w="4160"/>
      </w:tblGrid>
      <w:tr>
        <w:trPr>
          <w:cantSplit/>
          <w:tblHeader/>
        </w:trPr>
        <w:tc>
          <w:tcPr>
            <w:tcW w:type="dxa" w:w="1800"/>
            <w:shd w:fill="1F4D78"/>
            <w:vAlign w:val="center"/>
          </w:tcPr>
          <w:p>
            <w:pPr>
              <w:spacing w:after="40"/>
              <w:jc w:val="center"/>
            </w:pPr>
            <w:r>
              <w:rPr>
                <w:rFonts w:ascii="Calibri" w:hAnsi="Calibri"/>
                <w:b/>
                <w:color w:val="FFFFFF"/>
                <w:sz w:val="18"/>
              </w:rPr>
              <w:t>Limitation</w:t>
            </w:r>
          </w:p>
        </w:tc>
        <w:tc>
          <w:tcPr>
            <w:tcW w:type="dxa" w:w="3400"/>
            <w:shd w:fill="1F4D78"/>
            <w:vAlign w:val="center"/>
          </w:tcPr>
          <w:p>
            <w:pPr>
              <w:spacing w:after="40"/>
              <w:jc w:val="center"/>
            </w:pPr>
            <w:r>
              <w:rPr>
                <w:rFonts w:ascii="Calibri" w:hAnsi="Calibri"/>
                <w:b/>
                <w:color w:val="FFFFFF"/>
                <w:sz w:val="18"/>
              </w:rPr>
              <w:t>Evidence</w:t>
            </w:r>
          </w:p>
        </w:tc>
        <w:tc>
          <w:tcPr>
            <w:tcW w:type="dxa" w:w="4160"/>
            <w:shd w:fill="1F4D78"/>
            <w:vAlign w:val="center"/>
          </w:tcPr>
          <w:p>
            <w:pPr>
              <w:spacing w:after="40"/>
              <w:jc w:val="center"/>
            </w:pPr>
            <w:r>
              <w:rPr>
                <w:rFonts w:ascii="Calibri" w:hAnsi="Calibri"/>
                <w:b/>
                <w:color w:val="FFFFFF"/>
                <w:sz w:val="18"/>
              </w:rPr>
              <w:t>Project interpretation</w:t>
            </w:r>
          </w:p>
        </w:tc>
      </w:tr>
      <w:tr>
        <w:trPr>
          <w:cantSplit/>
        </w:trPr>
        <w:tc>
          <w:tcPr>
            <w:tcW w:type="dxa" w:w="1800"/>
            <w:vAlign w:val="center"/>
          </w:tcPr>
          <w:p>
            <w:pPr>
              <w:spacing w:after="40"/>
            </w:pPr>
            <w:r>
              <w:rPr>
                <w:rFonts w:ascii="Calibri" w:hAnsi="Calibri"/>
                <w:color w:val="1E1E1E"/>
                <w:sz w:val="17"/>
              </w:rPr>
              <w:t>Class imbalance</w:t>
            </w:r>
          </w:p>
        </w:tc>
        <w:tc>
          <w:tcPr>
            <w:tcW w:type="dxa" w:w="3400"/>
            <w:vAlign w:val="center"/>
          </w:tcPr>
          <w:p>
            <w:pPr>
              <w:spacing w:after="40"/>
            </w:pPr>
            <w:r>
              <w:rPr>
                <w:rFonts w:ascii="Calibri" w:hAnsi="Calibri"/>
                <w:color w:val="1E1E1E"/>
                <w:sz w:val="17"/>
              </w:rPr>
              <w:t>Macro F1 is much lower than Micro F1.</w:t>
            </w:r>
          </w:p>
        </w:tc>
        <w:tc>
          <w:tcPr>
            <w:tcW w:type="dxa" w:w="4160"/>
            <w:vAlign w:val="center"/>
          </w:tcPr>
          <w:p>
            <w:pPr>
              <w:spacing w:after="40"/>
            </w:pPr>
            <w:r>
              <w:rPr>
                <w:rFonts w:ascii="Calibri" w:hAnsi="Calibri"/>
                <w:color w:val="1E1E1E"/>
                <w:sz w:val="17"/>
              </w:rPr>
              <w:t>The model works better on common labels than rare labels.</w:t>
            </w:r>
          </w:p>
        </w:tc>
      </w:tr>
      <w:tr>
        <w:trPr>
          <w:cantSplit/>
        </w:trPr>
        <w:tc>
          <w:tcPr>
            <w:tcW w:type="dxa" w:w="1800"/>
            <w:vAlign w:val="center"/>
          </w:tcPr>
          <w:p>
            <w:pPr>
              <w:spacing w:after="40"/>
            </w:pPr>
            <w:r>
              <w:rPr>
                <w:rFonts w:ascii="Calibri" w:hAnsi="Calibri"/>
                <w:color w:val="1E1E1E"/>
                <w:sz w:val="17"/>
              </w:rPr>
              <w:t>External domain shift</w:t>
            </w:r>
          </w:p>
        </w:tc>
        <w:tc>
          <w:tcPr>
            <w:tcW w:type="dxa" w:w="3400"/>
            <w:vAlign w:val="center"/>
          </w:tcPr>
          <w:p>
            <w:pPr>
              <w:spacing w:after="40"/>
            </w:pPr>
            <w:r>
              <w:rPr>
                <w:rFonts w:ascii="Calibri" w:hAnsi="Calibri"/>
                <w:color w:val="1E1E1E"/>
                <w:sz w:val="17"/>
              </w:rPr>
              <w:t>External Top-1 is 21.7%, while Top-5 is 83.3%.</w:t>
            </w:r>
          </w:p>
        </w:tc>
        <w:tc>
          <w:tcPr>
            <w:tcW w:type="dxa" w:w="4160"/>
            <w:vAlign w:val="center"/>
          </w:tcPr>
          <w:p>
            <w:pPr>
              <w:spacing w:after="40"/>
            </w:pPr>
            <w:r>
              <w:rPr>
                <w:rFonts w:ascii="Calibri" w:hAnsi="Calibri"/>
                <w:color w:val="1E1E1E"/>
                <w:sz w:val="17"/>
              </w:rPr>
              <w:t>The model works better for ranked suggestions than exact one-label tags.</w:t>
            </w:r>
          </w:p>
        </w:tc>
      </w:tr>
      <w:tr>
        <w:trPr>
          <w:cantSplit/>
        </w:trPr>
        <w:tc>
          <w:tcPr>
            <w:tcW w:type="dxa" w:w="1800"/>
            <w:vAlign w:val="center"/>
          </w:tcPr>
          <w:p>
            <w:pPr>
              <w:spacing w:after="40"/>
            </w:pPr>
            <w:r>
              <w:rPr>
                <w:rFonts w:ascii="Calibri" w:hAnsi="Calibri"/>
                <w:color w:val="1E1E1E"/>
                <w:sz w:val="17"/>
              </w:rPr>
              <w:t>Experimental bias</w:t>
            </w:r>
          </w:p>
        </w:tc>
        <w:tc>
          <w:tcPr>
            <w:tcW w:type="dxa" w:w="3400"/>
            <w:vAlign w:val="center"/>
          </w:tcPr>
          <w:p>
            <w:pPr>
              <w:spacing w:after="40"/>
            </w:pPr>
            <w:r>
              <w:rPr>
                <w:rFonts w:ascii="Calibri" w:hAnsi="Calibri"/>
                <w:color w:val="1E1E1E"/>
                <w:sz w:val="17"/>
              </w:rPr>
              <w:t>38 of 60 external main predictions were Experimental.</w:t>
            </w:r>
          </w:p>
        </w:tc>
        <w:tc>
          <w:tcPr>
            <w:tcW w:type="dxa" w:w="4160"/>
            <w:vAlign w:val="center"/>
          </w:tcPr>
          <w:p>
            <w:pPr>
              <w:spacing w:after="40"/>
            </w:pPr>
            <w:r>
              <w:rPr>
                <w:rFonts w:ascii="Calibri" w:hAnsi="Calibri"/>
                <w:color w:val="1E1E1E"/>
                <w:sz w:val="17"/>
              </w:rPr>
              <w:t>The model often favours broad FMA labels on external audio.</w:t>
            </w:r>
          </w:p>
        </w:tc>
      </w:tr>
      <w:tr>
        <w:trPr>
          <w:cantSplit/>
        </w:trPr>
        <w:tc>
          <w:tcPr>
            <w:tcW w:type="dxa" w:w="1800"/>
            <w:vAlign w:val="center"/>
          </w:tcPr>
          <w:p>
            <w:pPr>
              <w:spacing w:after="40"/>
            </w:pPr>
            <w:r>
              <w:rPr>
                <w:rFonts w:ascii="Calibri" w:hAnsi="Calibri"/>
                <w:color w:val="1E1E1E"/>
                <w:sz w:val="17"/>
              </w:rPr>
              <w:t>Rare-tail weakness</w:t>
            </w:r>
          </w:p>
        </w:tc>
        <w:tc>
          <w:tcPr>
            <w:tcW w:type="dxa" w:w="3400"/>
            <w:vAlign w:val="center"/>
          </w:tcPr>
          <w:p>
            <w:pPr>
              <w:spacing w:after="40"/>
            </w:pPr>
            <w:r>
              <w:rPr>
                <w:rFonts w:ascii="Calibri" w:hAnsi="Calibri"/>
                <w:color w:val="1E1E1E"/>
                <w:sz w:val="17"/>
              </w:rPr>
              <w:t>Stage 2 rare-tail results remain limited.</w:t>
            </w:r>
          </w:p>
        </w:tc>
        <w:tc>
          <w:tcPr>
            <w:tcW w:type="dxa" w:w="4160"/>
            <w:vAlign w:val="center"/>
          </w:tcPr>
          <w:p>
            <w:pPr>
              <w:spacing w:after="40"/>
            </w:pPr>
            <w:r>
              <w:rPr>
                <w:rFonts w:ascii="Calibri" w:hAnsi="Calibri"/>
                <w:color w:val="1E1E1E"/>
                <w:sz w:val="17"/>
              </w:rPr>
              <w:t>Rare-tail output should be treated as supportive, not definitive.</w:t>
            </w:r>
          </w:p>
        </w:tc>
      </w:tr>
      <w:tr>
        <w:trPr>
          <w:cantSplit/>
        </w:trPr>
        <w:tc>
          <w:tcPr>
            <w:tcW w:type="dxa" w:w="1800"/>
            <w:vAlign w:val="center"/>
          </w:tcPr>
          <w:p>
            <w:pPr>
              <w:spacing w:after="40"/>
            </w:pPr>
            <w:r>
              <w:rPr>
                <w:rFonts w:ascii="Calibri" w:hAnsi="Calibri"/>
                <w:color w:val="1E1E1E"/>
                <w:sz w:val="17"/>
              </w:rPr>
              <w:t>External metadata gap</w:t>
            </w:r>
          </w:p>
        </w:tc>
        <w:tc>
          <w:tcPr>
            <w:tcW w:type="dxa" w:w="3400"/>
            <w:vAlign w:val="center"/>
          </w:tcPr>
          <w:p>
            <w:pPr>
              <w:spacing w:after="40"/>
            </w:pPr>
            <w:r>
              <w:rPr>
                <w:rFonts w:ascii="Calibri" w:hAnsi="Calibri"/>
                <w:color w:val="1E1E1E"/>
                <w:sz w:val="17"/>
              </w:rPr>
              <w:t>External songs do not have trusted FMA structured metadata rows.</w:t>
            </w:r>
          </w:p>
        </w:tc>
        <w:tc>
          <w:tcPr>
            <w:tcW w:type="dxa" w:w="4160"/>
            <w:vAlign w:val="center"/>
          </w:tcPr>
          <w:p>
            <w:pPr>
              <w:spacing w:after="40"/>
            </w:pPr>
            <w:r>
              <w:rPr>
                <w:rFonts w:ascii="Calibri" w:hAnsi="Calibri"/>
                <w:color w:val="1E1E1E"/>
                <w:sz w:val="17"/>
              </w:rPr>
              <w:t>Notebook 50 correctly uses audio-only inference for external songs.</w:t>
            </w:r>
          </w:p>
        </w:tc>
      </w:tr>
    </w:tbl>
    <w:p>
      <w:pPr>
        <w:spacing w:before="0" w:after="80"/>
      </w:pPr>
    </w:p>
    <w:p>
      <w:r>
        <w:t>The work should not be presented as a finished commercial tagging product. It is a working academic pipeline with clear evidence and clear limits. Results indicated that likely genres can be ranked usefully, but rare labels, external calibration, and broad-label bias remain open problems. This is why the final interpretation is careful rather than promotional.</w:t>
      </w:r>
    </w:p>
    <w:p>
      <w:pPr/>
      <w:r>
        <w:t>Several limitations came from the structure of the data rather than from one isolated coding issue. FMA labels are uneven, some genres have very few examples, and broad parent genres can dominate predictions. These issues make rare-tail performance difficult and explain why the fallback stage is presented cautiously.</w:t>
      </w:r>
    </w:p>
    <w:p>
      <w:pPr/>
      <w:r>
        <w:t>A second limitation is the external test setting. External songs are useful because they resemble deployment more closely than a held-out FMA split, but they also introduce uncertainty in genre mapping, audio quality, and musical style. For that reason, Notebook 50 is treated as deployment-style evidence, not as a direct replacement for the formal FMA test.</w:t>
      </w:r>
    </w:p>
    <w:p>
      <w:pPr>
        <w:pStyle w:val="Heading2"/>
      </w:pPr>
      <w:r>
        <w:t>11.1 Lessons Learned from Failed or Weak Runs</w:t>
      </w:r>
    </w:p>
    <w:p>
      <w:pPr/>
      <w:r>
        <w:t>Several weak runs were useful because they showed what the evaluation could not support. The empty test-selection output in the final testing phase was one example. It did not show that the model had failed; it showed that the evaluation setup was wrong. Correcting that issue was necessary before any metric could be interpreted.</w:t>
      </w:r>
    </w:p>
    <w:p>
      <w:pPr/>
      <w:r>
        <w:t>A second lesson was that longer audio does not automatically improve a model unless the inference method matches the training design. The audio model was trained around 15-second inputs, so Notebook 50 used windows across a full song rather than forcing a complete track into one prediction. This choice kept inference consistent with training while still allowing the whole song to influence the final ranked result.</w:t>
      </w:r>
    </w:p>
    <w:p>
      <w:pPr/>
      <w:r>
        <w:t>A third lesson concerned scope. It was tempting to describe the final taxonomy as a full 163-genre classifier. The evidence did not support that wording. The more accurate description is a 163-genre pipeline with 150 direct candidate labels, 10 rare-tail fallback labels, and 3 inventory-only labels. That distinction may look small, but it is central to the credibility of the project.</w:t>
      </w:r>
    </w:p>
    <w:p>
      <w:pPr/>
      <w:r>
        <w:t>The weaker results were also useful because they shaped the next stage of work. Class balancing, calibration, hierarchy-aware loss functions, genre-family constraints, and wider external testing are not optional polish. They are the next technical steps required before the system could be used as a stronger catalogue tool.</w:t>
      </w:r>
    </w:p>
    <w:p>
      <w:pPr/>
      <w:r>
        <w:t>The external-song work also changed the interpretation. At first, it was tempting to expect full-song windowing to give a clear improvement because more of the track was being used. The results were more mixed. Windowing made the test more realistic, but it also exposed the limits of a model trained around 15-second FMA-style inputs. That trade-off is part of the final conclusion.</w:t>
      </w:r>
    </w:p>
    <w:p>
      <w:pPr>
        <w:pStyle w:val="Heading1"/>
      </w:pPr>
      <w:r>
        <w:t>12. Reproducibility, Artefacts, and Submission Package</w:t>
      </w:r>
    </w:p>
    <w:p>
      <w:r>
        <w:t>The notebooks, models, processed data, and output folders should be submitted with the paper. The report explains the decisions. The artefacts show the actual implementation. This matters because a reader can trace the final numbers back to the notebooks and output files.</w:t>
      </w:r>
    </w:p>
    <w:tbl>
      <w:tblPr>
        <w:tblStyle w:val="TableGrid"/>
        <w:tblW w:type="dxa" w:w="9360"/>
        <w:tblLook w:firstColumn="1" w:firstRow="1" w:lastColumn="0" w:lastRow="0" w:noHBand="0" w:noVBand="1" w:val="04A0"/>
        <w:tblInd w:type="dxa" w:w="120"/>
      </w:tblPr>
      <w:tblGrid>
        <w:gridCol w:w="1900"/>
        <w:gridCol w:w="3900"/>
        <w:gridCol w:w="3560"/>
      </w:tblGrid>
      <w:tr>
        <w:trPr>
          <w:cantSplit/>
          <w:tblHeader/>
        </w:trPr>
        <w:tc>
          <w:tcPr>
            <w:tcW w:type="dxa" w:w="1900"/>
            <w:shd w:fill="1F4D78"/>
            <w:vAlign w:val="center"/>
          </w:tcPr>
          <w:p>
            <w:pPr>
              <w:spacing w:after="40"/>
              <w:jc w:val="center"/>
            </w:pPr>
            <w:r>
              <w:rPr>
                <w:rFonts w:ascii="Calibri" w:hAnsi="Calibri"/>
                <w:b/>
                <w:color w:val="FFFFFF"/>
                <w:sz w:val="18"/>
              </w:rPr>
              <w:t>Artefact group</w:t>
            </w:r>
          </w:p>
        </w:tc>
        <w:tc>
          <w:tcPr>
            <w:tcW w:type="dxa" w:w="3900"/>
            <w:shd w:fill="1F4D78"/>
            <w:vAlign w:val="center"/>
          </w:tcPr>
          <w:p>
            <w:pPr>
              <w:spacing w:after="40"/>
              <w:jc w:val="center"/>
            </w:pPr>
            <w:r>
              <w:rPr>
                <w:rFonts w:ascii="Calibri" w:hAnsi="Calibri"/>
                <w:b/>
                <w:color w:val="FFFFFF"/>
                <w:sz w:val="18"/>
              </w:rPr>
              <w:t>Location</w:t>
            </w:r>
          </w:p>
        </w:tc>
        <w:tc>
          <w:tcPr>
            <w:tcW w:type="dxa" w:w="3560"/>
            <w:shd w:fill="1F4D78"/>
            <w:vAlign w:val="center"/>
          </w:tcPr>
          <w:p>
            <w:pPr>
              <w:spacing w:after="40"/>
              <w:jc w:val="center"/>
            </w:pPr>
            <w:r>
              <w:rPr>
                <w:rFonts w:ascii="Calibri" w:hAnsi="Calibri"/>
                <w:b/>
                <w:color w:val="FFFFFF"/>
                <w:sz w:val="18"/>
              </w:rPr>
              <w:t>Purpose</w:t>
            </w:r>
          </w:p>
        </w:tc>
      </w:tr>
      <w:tr>
        <w:trPr>
          <w:cantSplit/>
        </w:trPr>
        <w:tc>
          <w:tcPr>
            <w:tcW w:type="dxa" w:w="1900"/>
            <w:vAlign w:val="center"/>
          </w:tcPr>
          <w:p>
            <w:pPr>
              <w:spacing w:after="40"/>
            </w:pPr>
            <w:r>
              <w:rPr>
                <w:rFonts w:ascii="Calibri" w:hAnsi="Calibri"/>
                <w:color w:val="1E1E1E"/>
                <w:sz w:val="17"/>
              </w:rPr>
              <w:t>Notebooks</w:t>
            </w:r>
          </w:p>
        </w:tc>
        <w:tc>
          <w:tcPr>
            <w:tcW w:type="dxa" w:w="3900"/>
            <w:vAlign w:val="center"/>
          </w:tcPr>
          <w:p>
            <w:pPr>
              <w:spacing w:after="40"/>
            </w:pPr>
            <w:r>
              <w:rPr>
                <w:rFonts w:ascii="Calibri" w:hAnsi="Calibri"/>
                <w:color w:val="1E1E1E"/>
                <w:sz w:val="17"/>
              </w:rPr>
              <w:t>E:\SCHOOL\Masters\Capstone_FMA_Project\notebook</w:t>
            </w:r>
          </w:p>
        </w:tc>
        <w:tc>
          <w:tcPr>
            <w:tcW w:type="dxa" w:w="3560"/>
            <w:vAlign w:val="center"/>
          </w:tcPr>
          <w:p>
            <w:pPr>
              <w:spacing w:after="40"/>
            </w:pPr>
            <w:r>
              <w:rPr>
                <w:rFonts w:ascii="Calibri" w:hAnsi="Calibri"/>
                <w:color w:val="1E1E1E"/>
                <w:sz w:val="17"/>
              </w:rPr>
              <w:t>Full build record from Notebook 01 to Notebook 50.</w:t>
            </w:r>
          </w:p>
        </w:tc>
      </w:tr>
      <w:tr>
        <w:trPr>
          <w:cantSplit/>
        </w:trPr>
        <w:tc>
          <w:tcPr>
            <w:tcW w:type="dxa" w:w="1900"/>
            <w:vAlign w:val="center"/>
          </w:tcPr>
          <w:p>
            <w:pPr>
              <w:spacing w:after="40"/>
            </w:pPr>
            <w:r>
              <w:rPr>
                <w:rFonts w:ascii="Calibri" w:hAnsi="Calibri"/>
                <w:color w:val="1E1E1E"/>
                <w:sz w:val="17"/>
              </w:rPr>
              <w:t>Models</w:t>
            </w:r>
          </w:p>
        </w:tc>
        <w:tc>
          <w:tcPr>
            <w:tcW w:type="dxa" w:w="3900"/>
            <w:vAlign w:val="center"/>
          </w:tcPr>
          <w:p>
            <w:pPr>
              <w:spacing w:after="40"/>
            </w:pPr>
            <w:r>
              <w:rPr>
                <w:rFonts w:ascii="Calibri" w:hAnsi="Calibri"/>
                <w:color w:val="1E1E1E"/>
                <w:sz w:val="17"/>
              </w:rPr>
              <w:t>E:\SCHOOL\Masters\Capstone_FMA_Project\models</w:t>
            </w:r>
          </w:p>
        </w:tc>
        <w:tc>
          <w:tcPr>
            <w:tcW w:type="dxa" w:w="3560"/>
            <w:vAlign w:val="center"/>
          </w:tcPr>
          <w:p>
            <w:pPr>
              <w:spacing w:after="40"/>
            </w:pPr>
            <w:r>
              <w:rPr>
                <w:rFonts w:ascii="Calibri" w:hAnsi="Calibri"/>
                <w:color w:val="1E1E1E"/>
                <w:sz w:val="17"/>
              </w:rPr>
              <w:t>Saved trained models, including the final audio model.</w:t>
            </w:r>
          </w:p>
        </w:tc>
      </w:tr>
      <w:tr>
        <w:trPr>
          <w:cantSplit/>
        </w:trPr>
        <w:tc>
          <w:tcPr>
            <w:tcW w:type="dxa" w:w="1900"/>
            <w:vAlign w:val="center"/>
          </w:tcPr>
          <w:p>
            <w:pPr>
              <w:spacing w:after="40"/>
            </w:pPr>
            <w:r>
              <w:rPr>
                <w:rFonts w:ascii="Calibri" w:hAnsi="Calibri"/>
                <w:color w:val="1E1E1E"/>
                <w:sz w:val="17"/>
              </w:rPr>
              <w:t>Processed data</w:t>
            </w:r>
          </w:p>
        </w:tc>
        <w:tc>
          <w:tcPr>
            <w:tcW w:type="dxa" w:w="3900"/>
            <w:vAlign w:val="center"/>
          </w:tcPr>
          <w:p>
            <w:pPr>
              <w:spacing w:after="40"/>
            </w:pPr>
            <w:r>
              <w:rPr>
                <w:rFonts w:ascii="Calibri" w:hAnsi="Calibri"/>
                <w:color w:val="1E1E1E"/>
                <w:sz w:val="17"/>
              </w:rPr>
              <w:t>E:\SCHOOL\Masters\Capstone_FMA_Project\data\processed</w:t>
            </w:r>
          </w:p>
        </w:tc>
        <w:tc>
          <w:tcPr>
            <w:tcW w:type="dxa" w:w="3560"/>
            <w:vAlign w:val="center"/>
          </w:tcPr>
          <w:p>
            <w:pPr>
              <w:spacing w:after="40"/>
            </w:pPr>
            <w:r>
              <w:rPr>
                <w:rFonts w:ascii="Calibri" w:hAnsi="Calibri"/>
                <w:color w:val="1E1E1E"/>
                <w:sz w:val="17"/>
              </w:rPr>
              <w:t>Prepared label matrices, summaries, thresholds, label arrays, and comparison tables.</w:t>
            </w:r>
          </w:p>
        </w:tc>
      </w:tr>
      <w:tr>
        <w:trPr>
          <w:cantSplit/>
        </w:trPr>
        <w:tc>
          <w:tcPr>
            <w:tcW w:type="dxa" w:w="1900"/>
            <w:vAlign w:val="center"/>
          </w:tcPr>
          <w:p>
            <w:pPr>
              <w:spacing w:after="40"/>
            </w:pPr>
            <w:r>
              <w:rPr>
                <w:rFonts w:ascii="Calibri" w:hAnsi="Calibri"/>
                <w:color w:val="1E1E1E"/>
                <w:sz w:val="17"/>
              </w:rPr>
              <w:t>Notebook 49 outputs</w:t>
            </w:r>
          </w:p>
        </w:tc>
        <w:tc>
          <w:tcPr>
            <w:tcW w:type="dxa" w:w="3900"/>
            <w:vAlign w:val="center"/>
          </w:tcPr>
          <w:p>
            <w:pPr>
              <w:spacing w:after="40"/>
            </w:pPr>
            <w:r>
              <w:rPr>
                <w:rFonts w:ascii="Calibri" w:hAnsi="Calibri"/>
                <w:color w:val="1E1E1E"/>
                <w:sz w:val="17"/>
              </w:rPr>
              <w:t>outputs\notebook49_fma_test_batch_evaluation</w:t>
            </w:r>
          </w:p>
        </w:tc>
        <w:tc>
          <w:tcPr>
            <w:tcW w:type="dxa" w:w="3560"/>
            <w:vAlign w:val="center"/>
          </w:tcPr>
          <w:p>
            <w:pPr>
              <w:spacing w:after="40"/>
            </w:pPr>
            <w:r>
              <w:rPr>
                <w:rFonts w:ascii="Calibri" w:hAnsi="Calibri"/>
                <w:color w:val="1E1E1E"/>
                <w:sz w:val="17"/>
              </w:rPr>
              <w:t>Formal FMA processed test evaluation outputs.</w:t>
            </w:r>
          </w:p>
        </w:tc>
      </w:tr>
      <w:tr>
        <w:trPr>
          <w:cantSplit/>
        </w:trPr>
        <w:tc>
          <w:tcPr>
            <w:tcW w:type="dxa" w:w="1900"/>
            <w:vAlign w:val="center"/>
          </w:tcPr>
          <w:p>
            <w:pPr>
              <w:spacing w:after="40"/>
            </w:pPr>
            <w:r>
              <w:rPr>
                <w:rFonts w:ascii="Calibri" w:hAnsi="Calibri"/>
                <w:color w:val="1E1E1E"/>
                <w:sz w:val="17"/>
              </w:rPr>
              <w:t>Notebook 50 outputs</w:t>
            </w:r>
          </w:p>
        </w:tc>
        <w:tc>
          <w:tcPr>
            <w:tcW w:type="dxa" w:w="3900"/>
            <w:vAlign w:val="center"/>
          </w:tcPr>
          <w:p>
            <w:pPr>
              <w:spacing w:after="40"/>
            </w:pPr>
            <w:r>
              <w:rPr>
                <w:rFonts w:ascii="Calibri" w:hAnsi="Calibri"/>
                <w:color w:val="1E1E1E"/>
                <w:sz w:val="17"/>
              </w:rPr>
              <w:t>outputs\notebook50_external_song_batch_windowed</w:t>
            </w:r>
          </w:p>
        </w:tc>
        <w:tc>
          <w:tcPr>
            <w:tcW w:type="dxa" w:w="3560"/>
            <w:vAlign w:val="center"/>
          </w:tcPr>
          <w:p>
            <w:pPr>
              <w:spacing w:after="40"/>
            </w:pPr>
            <w:r>
              <w:rPr>
                <w:rFonts w:ascii="Calibri" w:hAnsi="Calibri"/>
                <w:color w:val="1E1E1E"/>
                <w:sz w:val="17"/>
              </w:rPr>
              <w:t>External song predictions, manifest evaluation, and Top-k outputs.</w:t>
            </w:r>
          </w:p>
        </w:tc>
      </w:tr>
      <w:tr>
        <w:trPr>
          <w:cantSplit/>
        </w:trPr>
        <w:tc>
          <w:tcPr>
            <w:tcW w:type="dxa" w:w="1900"/>
            <w:vAlign w:val="center"/>
          </w:tcPr>
          <w:p>
            <w:pPr>
              <w:spacing w:after="40"/>
            </w:pPr>
            <w:r>
              <w:rPr>
                <w:rFonts w:ascii="Calibri" w:hAnsi="Calibri"/>
                <w:color w:val="1E1E1E"/>
                <w:sz w:val="17"/>
              </w:rPr>
              <w:t>External manifest</w:t>
            </w:r>
          </w:p>
        </w:tc>
        <w:tc>
          <w:tcPr>
            <w:tcW w:type="dxa" w:w="3900"/>
            <w:vAlign w:val="center"/>
          </w:tcPr>
          <w:p>
            <w:pPr>
              <w:spacing w:after="40"/>
            </w:pPr>
            <w:r>
              <w:rPr>
                <w:rFonts w:ascii="Calibri" w:hAnsi="Calibri"/>
                <w:color w:val="1E1E1E"/>
                <w:sz w:val="17"/>
              </w:rPr>
              <w:t>data\external_audio_batch\external_audio_manifest.xlsx</w:t>
            </w:r>
          </w:p>
        </w:tc>
        <w:tc>
          <w:tcPr>
            <w:tcW w:type="dxa" w:w="3560"/>
            <w:vAlign w:val="center"/>
          </w:tcPr>
          <w:p>
            <w:pPr>
              <w:spacing w:after="40"/>
            </w:pPr>
            <w:r>
              <w:rPr>
                <w:rFonts w:ascii="Calibri" w:hAnsi="Calibri"/>
                <w:color w:val="1E1E1E"/>
                <w:sz w:val="17"/>
              </w:rPr>
              <w:t>Audit file for external songs, sources, licences, and acceptable labels.</w:t>
            </w:r>
          </w:p>
        </w:tc>
      </w:tr>
      <w:tr>
        <w:trPr>
          <w:cantSplit/>
        </w:trPr>
        <w:tc>
          <w:tcPr>
            <w:tcW w:type="dxa" w:w="1900"/>
            <w:vAlign w:val="center"/>
          </w:tcPr>
          <w:p>
            <w:pPr>
              <w:spacing w:after="40"/>
            </w:pPr>
            <w:r>
              <w:rPr>
                <w:rFonts w:ascii="Calibri" w:hAnsi="Calibri"/>
                <w:color w:val="1E1E1E"/>
                <w:sz w:val="17"/>
              </w:rPr>
              <w:t>Graded proposal</w:t>
            </w:r>
          </w:p>
        </w:tc>
        <w:tc>
          <w:tcPr>
            <w:tcW w:type="dxa" w:w="3900"/>
            <w:vAlign w:val="center"/>
          </w:tcPr>
          <w:p>
            <w:pPr>
              <w:spacing w:after="40"/>
            </w:pPr>
            <w:r>
              <w:rPr>
                <w:rFonts w:ascii="Calibri" w:hAnsi="Calibri"/>
                <w:color w:val="1E1E1E"/>
                <w:sz w:val="17"/>
              </w:rPr>
              <w:t>documentation\Capstone_Project_Proposal_Graded.pdf</w:t>
            </w:r>
          </w:p>
        </w:tc>
        <w:tc>
          <w:tcPr>
            <w:tcW w:type="dxa" w:w="3560"/>
            <w:vAlign w:val="center"/>
          </w:tcPr>
          <w:p>
            <w:pPr>
              <w:spacing w:after="40"/>
            </w:pPr>
            <w:r>
              <w:rPr>
                <w:rFonts w:ascii="Calibri" w:hAnsi="Calibri"/>
                <w:color w:val="1E1E1E"/>
                <w:sz w:val="17"/>
              </w:rPr>
              <w:t>Approved proposal included as a supporting submission document.</w:t>
            </w:r>
          </w:p>
        </w:tc>
      </w:tr>
      <w:tr>
        <w:trPr>
          <w:cantSplit/>
        </w:trPr>
        <w:tc>
          <w:tcPr>
            <w:tcW w:type="dxa" w:w="1900"/>
            <w:vAlign w:val="center"/>
          </w:tcPr>
          <w:p>
            <w:pPr>
              <w:spacing w:after="40"/>
            </w:pPr>
            <w:r>
              <w:rPr>
                <w:rFonts w:ascii="Calibri" w:hAnsi="Calibri"/>
                <w:color w:val="1E1E1E"/>
                <w:sz w:val="17"/>
              </w:rPr>
              <w:t>Documentation</w:t>
            </w:r>
          </w:p>
        </w:tc>
        <w:tc>
          <w:tcPr>
            <w:tcW w:type="dxa" w:w="3900"/>
            <w:vAlign w:val="center"/>
          </w:tcPr>
          <w:p>
            <w:pPr>
              <w:spacing w:after="40"/>
            </w:pPr>
            <w:r>
              <w:rPr>
                <w:rFonts w:ascii="Calibri" w:hAnsi="Calibri"/>
                <w:color w:val="1E1E1E"/>
                <w:sz w:val="17"/>
              </w:rPr>
              <w:t>documentation</w:t>
            </w:r>
          </w:p>
        </w:tc>
        <w:tc>
          <w:tcPr>
            <w:tcW w:type="dxa" w:w="3560"/>
            <w:vAlign w:val="center"/>
          </w:tcPr>
          <w:p>
            <w:pPr>
              <w:spacing w:after="40"/>
            </w:pPr>
            <w:r>
              <w:rPr>
                <w:rFonts w:ascii="Calibri" w:hAnsi="Calibri"/>
                <w:color w:val="1E1E1E"/>
                <w:sz w:val="17"/>
              </w:rPr>
              <w:t>Final technical document and supporting documentation files.</w:t>
            </w:r>
          </w:p>
        </w:tc>
      </w:tr>
    </w:tbl>
    <w:p>
      <w:pPr>
        <w:spacing w:before="0" w:after="80"/>
      </w:pPr>
    </w:p>
    <w:p>
      <w:pPr>
        <w:pStyle w:val="Heading2"/>
      </w:pPr>
      <w:r>
        <w:t>12.1 Recommended Run Order for Review</w:t>
      </w:r>
    </w:p>
    <w:p>
      <w:pPr/>
      <w:r>
        <w:t>The review order below is not meant to imply that every notebook carries equal weight. Earlier notebooks explain how the data and models were built. The final judgement should rely most heavily on the corrected final evaluation notebooks and the saved result files.</w:t>
      </w:r>
    </w:p>
    <w:p>
      <w:pPr>
        <w:pStyle w:val="ListBullet"/>
      </w:pPr>
      <w:r>
        <w:t>Review Notebooks 23-24 for full genre inventory and multi-label preparation.</w:t>
      </w:r>
    </w:p>
    <w:p>
      <w:pPr>
        <w:pStyle w:val="ListBullet"/>
      </w:pPr>
      <w:r>
        <w:t>Review Notebooks 34-38 for the expanded Candidate-150 audio and hybrid benchmark.</w:t>
      </w:r>
    </w:p>
    <w:p>
      <w:pPr>
        <w:pStyle w:val="ListBullet"/>
      </w:pPr>
      <w:r>
        <w:t>Review Notebooks 39-47 for the corrected full 163-genre and rare-tail strategy.</w:t>
      </w:r>
    </w:p>
    <w:p>
      <w:pPr>
        <w:pStyle w:val="ListBullet"/>
      </w:pPr>
      <w:r>
        <w:t>Run Notebook 49 to reproduce the final formal FMA processed test evaluation.</w:t>
      </w:r>
    </w:p>
    <w:p>
      <w:pPr>
        <w:pStyle w:val="ListBullet"/>
      </w:pPr>
      <w:r>
        <w:t>Run Notebook 50 to reproduce the external open-licence audio batch evaluation.</w:t>
      </w:r>
    </w:p>
    <w:p>
      <w:pPr>
        <w:pStyle w:val="Heading2"/>
      </w:pPr>
      <w:r>
        <w:t>12.2 What a Reviewer Should Check First</w:t>
      </w:r>
    </w:p>
    <w:p>
      <w:pPr/>
      <w:r>
        <w:t>A reviewer should start with the final outputs rather than opening every notebook in order. The most useful files are the Notebook 49 summary JSON, the Notebook 49 top-k prediction table, the Notebook 50 batch summary JSON, and the Notebook 50 song summary table. These files show the final behaviour of the model without requiring a full rerun.</w:t>
      </w:r>
    </w:p>
    <w:p>
      <w:pPr/>
      <w:r>
        <w:t>This review order also reflects the practical limits of rerunning the whole project. Audio models, external files, and notebook environments can be time-consuming to reproduce. The saved outputs and exported notebooks make the submission easier to audit without requiring every experiment to be rerun from scratch.</w:t>
      </w:r>
    </w:p>
    <w:p>
      <w:pPr/>
      <w:r>
        <w:t>The notebook PDFs in the software artefacts folder are still important. They show the code and the output state used for submission. They also make the project easier to inspect on a machine that is not set up to rerun TensorFlow, librosa, and the full audio pipeline.</w:t>
      </w:r>
    </w:p>
    <w:p>
      <w:pPr>
        <w:pStyle w:val="Heading1"/>
      </w:pPr>
      <w:r>
        <w:t>13. Conclusion and Future Work</w:t>
      </w:r>
    </w:p>
    <w:p>
      <w:pPr/>
      <w:r>
        <w:t>The completed capstone provides a working, auditable music genre prediction pipeline built from FMA metadata, engineered features, raw audio, model outputs, and external-song testing. The most defensible conclusion is not that genre classification has been solved. The evidence supports a narrower and more useful claim: within this project, audio-based and hybrid modelling can rank likely genre candidates well enough to support review.</w:t>
      </w:r>
    </w:p>
    <w:p>
      <w:pPr/>
      <w:r>
        <w:t>Notebook 49 gives the strongest internal evidence. The system completed 100 FMA test predictions with no errors and achieved strong Top-k performance. Notebook 50 gives the more cautious external evidence. It showed that the model still placed many acceptable genres in the Top-5, but that Top-1 external prediction remained limited. Taken together, these findings support a demonstration focused on ranked suggestions, confidence scores, and human review.</w:t>
      </w:r>
    </w:p>
    <w:p>
      <w:pPr/>
      <w:r>
        <w:t>Future work should focus on calibration, rare-label learning, broader external testing, and a small serving interface for upload-based prediction. Those steps would move the capstone from a strong academic prototype toward a more operational music analytics tool. The value of the current work is that it leaves that path clear, with the strengths and limits documented from the actual notebook evidence.</w:t>
      </w:r>
    </w:p>
    <w:p>
      <w:pPr>
        <w:pStyle w:val="Heading1"/>
      </w:pPr>
      <w:r>
        <w:t>References</w:t>
      </w:r>
    </w:p>
    <w:p>
      <w:pPr>
        <w:spacing w:after="120"/>
        <w:ind w:left="504" w:hanging="504"/>
      </w:pPr>
      <w:r>
        <w:t>Chapman, P., Clinton, J., Kerber, R., Khabaza, T., Reinartz, T., Shearer, C., &amp; Wirth, R. (2000). CRISP-DM 1.0: Step-by-step data mining guide.</w:t>
      </w:r>
    </w:p>
    <w:p>
      <w:pPr>
        <w:spacing w:after="120"/>
        <w:ind w:left="504" w:hanging="504"/>
      </w:pPr>
      <w:r>
        <w:t>Defferrard, M., Benzi, K., Vandergheynst, P., &amp; Bresson, X. (2017). FMA: A dataset for music analysis. Proceedings of the 18th International Society for Music Information Retrieval Conference.</w:t>
      </w:r>
    </w:p>
    <w:p>
      <w:pPr>
        <w:spacing w:after="120"/>
        <w:ind w:left="504" w:hanging="504"/>
      </w:pPr>
      <w:r>
        <w:t>McFee, B., Raffel, C., Liang, D., Ellis, D. P. W., McVicar, M., Battenberg, E., &amp; Nieto, O. (2015). librosa: Audio and music signal analysis in Python. Proceedings of the 14th Python in Science Conference.</w:t>
      </w:r>
    </w:p>
    <w:p>
      <w:pPr>
        <w:spacing w:after="120"/>
        <w:ind w:left="504" w:hanging="504"/>
      </w:pPr>
      <w:r>
        <w:t>Pedregosa, F., Varoquaux, G., Gramfort, A., Michel, V., Thirion, B., Grisel, O., et al. (2011). Scikit-learn: Machine learning in Python. Journal of Machine Learning Research, 12, 2825-2830.</w:t>
      </w:r>
    </w:p>
    <w:p>
      <w:pPr>
        <w:spacing w:after="120"/>
        <w:ind w:left="504" w:hanging="504"/>
      </w:pPr>
      <w:r>
        <w:t>Goodfellow, I., Bengio, Y., &amp; Courville, A. (2016). Deep learning. MIT Press.</w:t>
      </w:r>
    </w:p>
    <w:p>
      <w:pPr>
        <w:spacing w:after="120"/>
        <w:ind w:left="504" w:hanging="504"/>
      </w:pPr>
      <w:r>
        <w:t>MongoDB Documentation. (n.d.). https://www.mongodb.com/docs/</w:t>
      </w:r>
    </w:p>
    <w:p>
      <w:pPr>
        <w:spacing w:after="120"/>
        <w:ind w:left="504" w:hanging="504"/>
      </w:pPr>
      <w:r>
        <w:t>Free Music Archive Dataset Documentation. (n.d.). https://github.com/mdeff/fma</w:t>
      </w:r>
    </w:p>
    <w:p>
      <w:r/>
    </w:p>
    <w:p>
      <w:pPr>
        <w:pStyle w:val="Heading1"/>
      </w:pPr>
      <w:r>
        <w:t>Appendix A: Complete Notebook Artefact Map</w:t>
      </w:r>
    </w:p>
    <w:tbl>
      <w:tblPr>
        <w:tblStyle w:val="TableGrid"/>
        <w:tblW w:type="dxa" w:w="9360"/>
        <w:tblLook w:firstColumn="1" w:firstRow="1" w:lastColumn="0" w:lastRow="0" w:noHBand="0" w:noVBand="1" w:val="04A0"/>
        <w:tblInd w:type="dxa" w:w="120"/>
      </w:tblPr>
      <w:tblGrid>
        <w:gridCol w:w="2500"/>
        <w:gridCol w:w="3000"/>
        <w:gridCol w:w="3860"/>
      </w:tblGrid>
      <w:tr>
        <w:trPr>
          <w:cantSplit/>
          <w:tblHeader/>
        </w:trPr>
        <w:tc>
          <w:tcPr>
            <w:tcW w:type="dxa" w:w="2500"/>
            <w:shd w:fill="1F4D78"/>
            <w:vAlign w:val="center"/>
          </w:tcPr>
          <w:p>
            <w:pPr>
              <w:spacing w:after="40"/>
              <w:jc w:val="center"/>
            </w:pPr>
            <w:r>
              <w:rPr>
                <w:rFonts w:ascii="Calibri" w:hAnsi="Calibri"/>
                <w:b/>
                <w:color w:val="FFFFFF"/>
                <w:sz w:val="18"/>
              </w:rPr>
              <w:t>Notebook</w:t>
            </w:r>
          </w:p>
        </w:tc>
        <w:tc>
          <w:tcPr>
            <w:tcW w:type="dxa" w:w="3000"/>
            <w:shd w:fill="1F4D78"/>
            <w:vAlign w:val="center"/>
          </w:tcPr>
          <w:p>
            <w:pPr>
              <w:spacing w:after="40"/>
              <w:jc w:val="center"/>
            </w:pPr>
            <w:r>
              <w:rPr>
                <w:rFonts w:ascii="Calibri" w:hAnsi="Calibri"/>
                <w:b/>
                <w:color w:val="FFFFFF"/>
                <w:sz w:val="18"/>
              </w:rPr>
              <w:t>Project phase</w:t>
            </w:r>
          </w:p>
        </w:tc>
        <w:tc>
          <w:tcPr>
            <w:tcW w:type="dxa" w:w="3860"/>
            <w:shd w:fill="1F4D78"/>
            <w:vAlign w:val="center"/>
          </w:tcPr>
          <w:p>
            <w:pPr>
              <w:spacing w:after="40"/>
              <w:jc w:val="center"/>
            </w:pPr>
            <w:r>
              <w:rPr>
                <w:rFonts w:ascii="Calibri" w:hAnsi="Calibri"/>
                <w:b/>
                <w:color w:val="FFFFFF"/>
                <w:sz w:val="18"/>
              </w:rPr>
              <w:t>Main purpose</w:t>
            </w:r>
          </w:p>
        </w:tc>
      </w:tr>
      <w:tr>
        <w:trPr>
          <w:cantSplit/>
        </w:trPr>
        <w:tc>
          <w:tcPr>
            <w:tcW w:type="dxa" w:w="2500"/>
            <w:vAlign w:val="center"/>
          </w:tcPr>
          <w:p>
            <w:pPr>
              <w:spacing w:after="40"/>
            </w:pPr>
            <w:r>
              <w:rPr>
                <w:rFonts w:ascii="Calibri" w:hAnsi="Calibri"/>
                <w:color w:val="1E1E1E"/>
                <w:sz w:val="17"/>
              </w:rPr>
              <w:t>Notebook 1: Metadata understanding</w:t>
            </w:r>
          </w:p>
        </w:tc>
        <w:tc>
          <w:tcPr>
            <w:tcW w:type="dxa" w:w="3000"/>
            <w:vAlign w:val="center"/>
          </w:tcPr>
          <w:p>
            <w:pPr>
              <w:spacing w:after="40"/>
            </w:pPr>
            <w:r>
              <w:rPr>
                <w:rFonts w:ascii="Calibri" w:hAnsi="Calibri"/>
                <w:color w:val="1E1E1E"/>
                <w:sz w:val="17"/>
              </w:rPr>
              <w:t>Foundations and proof of concept</w:t>
            </w:r>
          </w:p>
        </w:tc>
        <w:tc>
          <w:tcPr>
            <w:tcW w:type="dxa" w:w="3860"/>
            <w:vAlign w:val="center"/>
          </w:tcPr>
          <w:p>
            <w:pPr>
              <w:spacing w:after="40"/>
            </w:pPr>
            <w:r>
              <w:rPr>
                <w:rFonts w:ascii="Calibri" w:hAnsi="Calibri"/>
                <w:color w:val="1E1E1E"/>
                <w:sz w:val="17"/>
              </w:rPr>
              <w:t>Metadata understanding</w:t>
            </w:r>
          </w:p>
        </w:tc>
      </w:tr>
      <w:tr>
        <w:trPr>
          <w:cantSplit/>
        </w:trPr>
        <w:tc>
          <w:tcPr>
            <w:tcW w:type="dxa" w:w="2500"/>
            <w:vAlign w:val="center"/>
          </w:tcPr>
          <w:p>
            <w:pPr>
              <w:spacing w:after="40"/>
            </w:pPr>
            <w:r>
              <w:rPr>
                <w:rFonts w:ascii="Calibri" w:hAnsi="Calibri"/>
                <w:color w:val="1E1E1E"/>
                <w:sz w:val="17"/>
              </w:rPr>
              <w:t>Notebook 2: Structured model features</w:t>
            </w:r>
          </w:p>
        </w:tc>
        <w:tc>
          <w:tcPr>
            <w:tcW w:type="dxa" w:w="3000"/>
            <w:vAlign w:val="center"/>
          </w:tcPr>
          <w:p>
            <w:pPr>
              <w:spacing w:after="40"/>
            </w:pPr>
            <w:r>
              <w:rPr>
                <w:rFonts w:ascii="Calibri" w:hAnsi="Calibri"/>
                <w:color w:val="1E1E1E"/>
                <w:sz w:val="17"/>
              </w:rPr>
              <w:t>Foundations and proof of concept</w:t>
            </w:r>
          </w:p>
        </w:tc>
        <w:tc>
          <w:tcPr>
            <w:tcW w:type="dxa" w:w="3860"/>
            <w:vAlign w:val="center"/>
          </w:tcPr>
          <w:p>
            <w:pPr>
              <w:spacing w:after="40"/>
            </w:pPr>
            <w:r>
              <w:rPr>
                <w:rFonts w:ascii="Calibri" w:hAnsi="Calibri"/>
                <w:color w:val="1E1E1E"/>
                <w:sz w:val="17"/>
              </w:rPr>
              <w:t>Structured model features</w:t>
            </w:r>
          </w:p>
        </w:tc>
      </w:tr>
      <w:tr>
        <w:trPr>
          <w:cantSplit/>
        </w:trPr>
        <w:tc>
          <w:tcPr>
            <w:tcW w:type="dxa" w:w="2500"/>
            <w:vAlign w:val="center"/>
          </w:tcPr>
          <w:p>
            <w:pPr>
              <w:spacing w:after="40"/>
            </w:pPr>
            <w:r>
              <w:rPr>
                <w:rFonts w:ascii="Calibri" w:hAnsi="Calibri"/>
                <w:color w:val="1E1E1E"/>
                <w:sz w:val="17"/>
              </w:rPr>
              <w:t>Notebook 3: Echonest experiment</w:t>
            </w:r>
          </w:p>
        </w:tc>
        <w:tc>
          <w:tcPr>
            <w:tcW w:type="dxa" w:w="3000"/>
            <w:vAlign w:val="center"/>
          </w:tcPr>
          <w:p>
            <w:pPr>
              <w:spacing w:after="40"/>
            </w:pPr>
            <w:r>
              <w:rPr>
                <w:rFonts w:ascii="Calibri" w:hAnsi="Calibri"/>
                <w:color w:val="1E1E1E"/>
                <w:sz w:val="17"/>
              </w:rPr>
              <w:t>Foundations and proof of concept</w:t>
            </w:r>
          </w:p>
        </w:tc>
        <w:tc>
          <w:tcPr>
            <w:tcW w:type="dxa" w:w="3860"/>
            <w:vAlign w:val="center"/>
          </w:tcPr>
          <w:p>
            <w:pPr>
              <w:spacing w:after="40"/>
            </w:pPr>
            <w:r>
              <w:rPr>
                <w:rFonts w:ascii="Calibri" w:hAnsi="Calibri"/>
                <w:color w:val="1E1E1E"/>
                <w:sz w:val="17"/>
              </w:rPr>
              <w:t>Echonest experiment</w:t>
            </w:r>
          </w:p>
        </w:tc>
      </w:tr>
      <w:tr>
        <w:trPr>
          <w:cantSplit/>
        </w:trPr>
        <w:tc>
          <w:tcPr>
            <w:tcW w:type="dxa" w:w="2500"/>
            <w:vAlign w:val="center"/>
          </w:tcPr>
          <w:p>
            <w:pPr>
              <w:spacing w:after="40"/>
            </w:pPr>
            <w:r>
              <w:rPr>
                <w:rFonts w:ascii="Calibri" w:hAnsi="Calibri"/>
                <w:color w:val="1E1E1E"/>
                <w:sz w:val="17"/>
              </w:rPr>
              <w:t>Notebook 4: Mongodb pipeline</w:t>
            </w:r>
          </w:p>
        </w:tc>
        <w:tc>
          <w:tcPr>
            <w:tcW w:type="dxa" w:w="3000"/>
            <w:vAlign w:val="center"/>
          </w:tcPr>
          <w:p>
            <w:pPr>
              <w:spacing w:after="40"/>
            </w:pPr>
            <w:r>
              <w:rPr>
                <w:rFonts w:ascii="Calibri" w:hAnsi="Calibri"/>
                <w:color w:val="1E1E1E"/>
                <w:sz w:val="17"/>
              </w:rPr>
              <w:t>Foundations and proof of concept</w:t>
            </w:r>
          </w:p>
        </w:tc>
        <w:tc>
          <w:tcPr>
            <w:tcW w:type="dxa" w:w="3860"/>
            <w:vAlign w:val="center"/>
          </w:tcPr>
          <w:p>
            <w:pPr>
              <w:spacing w:after="40"/>
            </w:pPr>
            <w:r>
              <w:rPr>
                <w:rFonts w:ascii="Calibri" w:hAnsi="Calibri"/>
                <w:color w:val="1E1E1E"/>
                <w:sz w:val="17"/>
              </w:rPr>
              <w:t>Mongodb pipeline</w:t>
            </w:r>
          </w:p>
        </w:tc>
      </w:tr>
      <w:tr>
        <w:trPr>
          <w:cantSplit/>
        </w:trPr>
        <w:tc>
          <w:tcPr>
            <w:tcW w:type="dxa" w:w="2500"/>
            <w:vAlign w:val="center"/>
          </w:tcPr>
          <w:p>
            <w:pPr>
              <w:spacing w:after="40"/>
            </w:pPr>
            <w:r>
              <w:rPr>
                <w:rFonts w:ascii="Calibri" w:hAnsi="Calibri"/>
                <w:color w:val="1E1E1E"/>
                <w:sz w:val="17"/>
              </w:rPr>
              <w:t>Notebook 5: Structured model medium</w:t>
            </w:r>
          </w:p>
        </w:tc>
        <w:tc>
          <w:tcPr>
            <w:tcW w:type="dxa" w:w="3000"/>
            <w:vAlign w:val="center"/>
          </w:tcPr>
          <w:p>
            <w:pPr>
              <w:spacing w:after="40"/>
            </w:pPr>
            <w:r>
              <w:rPr>
                <w:rFonts w:ascii="Calibri" w:hAnsi="Calibri"/>
                <w:color w:val="1E1E1E"/>
                <w:sz w:val="17"/>
              </w:rPr>
              <w:t>Foundations and proof of concept</w:t>
            </w:r>
          </w:p>
        </w:tc>
        <w:tc>
          <w:tcPr>
            <w:tcW w:type="dxa" w:w="3860"/>
            <w:vAlign w:val="center"/>
          </w:tcPr>
          <w:p>
            <w:pPr>
              <w:spacing w:after="40"/>
            </w:pPr>
            <w:r>
              <w:rPr>
                <w:rFonts w:ascii="Calibri" w:hAnsi="Calibri"/>
                <w:color w:val="1E1E1E"/>
                <w:sz w:val="17"/>
              </w:rPr>
              <w:t>Structured model medium</w:t>
            </w:r>
          </w:p>
        </w:tc>
      </w:tr>
      <w:tr>
        <w:trPr>
          <w:cantSplit/>
        </w:trPr>
        <w:tc>
          <w:tcPr>
            <w:tcW w:type="dxa" w:w="2500"/>
            <w:vAlign w:val="center"/>
          </w:tcPr>
          <w:p>
            <w:pPr>
              <w:spacing w:after="40"/>
            </w:pPr>
            <w:r>
              <w:rPr>
                <w:rFonts w:ascii="Calibri" w:hAnsi="Calibri"/>
                <w:color w:val="1E1E1E"/>
                <w:sz w:val="17"/>
              </w:rPr>
              <w:t>Notebook 6: Large subset analysis and structured model</w:t>
            </w:r>
          </w:p>
        </w:tc>
        <w:tc>
          <w:tcPr>
            <w:tcW w:type="dxa" w:w="3000"/>
            <w:vAlign w:val="center"/>
          </w:tcPr>
          <w:p>
            <w:pPr>
              <w:spacing w:after="40"/>
            </w:pPr>
            <w:r>
              <w:rPr>
                <w:rFonts w:ascii="Calibri" w:hAnsi="Calibri"/>
                <w:color w:val="1E1E1E"/>
                <w:sz w:val="17"/>
              </w:rPr>
              <w:t>Foundations and proof of concept</w:t>
            </w:r>
          </w:p>
        </w:tc>
        <w:tc>
          <w:tcPr>
            <w:tcW w:type="dxa" w:w="3860"/>
            <w:vAlign w:val="center"/>
          </w:tcPr>
          <w:p>
            <w:pPr>
              <w:spacing w:after="40"/>
            </w:pPr>
            <w:r>
              <w:rPr>
                <w:rFonts w:ascii="Calibri" w:hAnsi="Calibri"/>
                <w:color w:val="1E1E1E"/>
                <w:sz w:val="17"/>
              </w:rPr>
              <w:t>Large subset analysis and structured model</w:t>
            </w:r>
          </w:p>
        </w:tc>
      </w:tr>
      <w:tr>
        <w:trPr>
          <w:cantSplit/>
        </w:trPr>
        <w:tc>
          <w:tcPr>
            <w:tcW w:type="dxa" w:w="2500"/>
            <w:vAlign w:val="center"/>
          </w:tcPr>
          <w:p>
            <w:pPr>
              <w:spacing w:after="40"/>
            </w:pPr>
            <w:r>
              <w:rPr>
                <w:rFonts w:ascii="Calibri" w:hAnsi="Calibri"/>
                <w:color w:val="1E1E1E"/>
                <w:sz w:val="17"/>
              </w:rPr>
              <w:t>Notebook 7: Audio model</w:t>
            </w:r>
          </w:p>
        </w:tc>
        <w:tc>
          <w:tcPr>
            <w:tcW w:type="dxa" w:w="3000"/>
            <w:vAlign w:val="center"/>
          </w:tcPr>
          <w:p>
            <w:pPr>
              <w:spacing w:after="40"/>
            </w:pPr>
            <w:r>
              <w:rPr>
                <w:rFonts w:ascii="Calibri" w:hAnsi="Calibri"/>
                <w:color w:val="1E1E1E"/>
                <w:sz w:val="17"/>
              </w:rPr>
              <w:t>Foundations and proof of concept</w:t>
            </w:r>
          </w:p>
        </w:tc>
        <w:tc>
          <w:tcPr>
            <w:tcW w:type="dxa" w:w="3860"/>
            <w:vAlign w:val="center"/>
          </w:tcPr>
          <w:p>
            <w:pPr>
              <w:spacing w:after="40"/>
            </w:pPr>
            <w:r>
              <w:rPr>
                <w:rFonts w:ascii="Calibri" w:hAnsi="Calibri"/>
                <w:color w:val="1E1E1E"/>
                <w:sz w:val="17"/>
              </w:rPr>
              <w:t>Audio model</w:t>
            </w:r>
          </w:p>
        </w:tc>
      </w:tr>
      <w:tr>
        <w:trPr>
          <w:cantSplit/>
        </w:trPr>
        <w:tc>
          <w:tcPr>
            <w:tcW w:type="dxa" w:w="2500"/>
            <w:vAlign w:val="center"/>
          </w:tcPr>
          <w:p>
            <w:pPr>
              <w:spacing w:after="40"/>
            </w:pPr>
            <w:r>
              <w:rPr>
                <w:rFonts w:ascii="Calibri" w:hAnsi="Calibri"/>
                <w:color w:val="1E1E1E"/>
                <w:sz w:val="17"/>
              </w:rPr>
              <w:t>Notebook 8: Improved audio model from large</w:t>
            </w:r>
          </w:p>
        </w:tc>
        <w:tc>
          <w:tcPr>
            <w:tcW w:type="dxa" w:w="3000"/>
            <w:vAlign w:val="center"/>
          </w:tcPr>
          <w:p>
            <w:pPr>
              <w:spacing w:after="40"/>
            </w:pPr>
            <w:r>
              <w:rPr>
                <w:rFonts w:ascii="Calibri" w:hAnsi="Calibri"/>
                <w:color w:val="1E1E1E"/>
                <w:sz w:val="17"/>
              </w:rPr>
              <w:t>Foundations and proof of concept</w:t>
            </w:r>
          </w:p>
        </w:tc>
        <w:tc>
          <w:tcPr>
            <w:tcW w:type="dxa" w:w="3860"/>
            <w:vAlign w:val="center"/>
          </w:tcPr>
          <w:p>
            <w:pPr>
              <w:spacing w:after="40"/>
            </w:pPr>
            <w:r>
              <w:rPr>
                <w:rFonts w:ascii="Calibri" w:hAnsi="Calibri"/>
                <w:color w:val="1E1E1E"/>
                <w:sz w:val="17"/>
              </w:rPr>
              <w:t>Improved audio model from large</w:t>
            </w:r>
          </w:p>
        </w:tc>
      </w:tr>
      <w:tr>
        <w:trPr>
          <w:cantSplit/>
        </w:trPr>
        <w:tc>
          <w:tcPr>
            <w:tcW w:type="dxa" w:w="2500"/>
            <w:vAlign w:val="center"/>
          </w:tcPr>
          <w:p>
            <w:pPr>
              <w:spacing w:after="40"/>
            </w:pPr>
            <w:r>
              <w:rPr>
                <w:rFonts w:ascii="Calibri" w:hAnsi="Calibri"/>
                <w:color w:val="1E1E1E"/>
                <w:sz w:val="17"/>
              </w:rPr>
              <w:t>Notebook 9: Structured model for audio hybrid</w:t>
            </w:r>
          </w:p>
        </w:tc>
        <w:tc>
          <w:tcPr>
            <w:tcW w:type="dxa" w:w="3000"/>
            <w:vAlign w:val="center"/>
          </w:tcPr>
          <w:p>
            <w:pPr>
              <w:spacing w:after="40"/>
            </w:pPr>
            <w:r>
              <w:rPr>
                <w:rFonts w:ascii="Calibri" w:hAnsi="Calibri"/>
                <w:color w:val="1E1E1E"/>
                <w:sz w:val="17"/>
              </w:rPr>
              <w:t>Foundations and proof of concept</w:t>
            </w:r>
          </w:p>
        </w:tc>
        <w:tc>
          <w:tcPr>
            <w:tcW w:type="dxa" w:w="3860"/>
            <w:vAlign w:val="center"/>
          </w:tcPr>
          <w:p>
            <w:pPr>
              <w:spacing w:after="40"/>
            </w:pPr>
            <w:r>
              <w:rPr>
                <w:rFonts w:ascii="Calibri" w:hAnsi="Calibri"/>
                <w:color w:val="1E1E1E"/>
                <w:sz w:val="17"/>
              </w:rPr>
              <w:t>Structured model for audio hybrid</w:t>
            </w:r>
          </w:p>
        </w:tc>
      </w:tr>
      <w:tr>
        <w:trPr>
          <w:cantSplit/>
        </w:trPr>
        <w:tc>
          <w:tcPr>
            <w:tcW w:type="dxa" w:w="2500"/>
            <w:vAlign w:val="center"/>
          </w:tcPr>
          <w:p>
            <w:pPr>
              <w:spacing w:after="40"/>
            </w:pPr>
            <w:r>
              <w:rPr>
                <w:rFonts w:ascii="Calibri" w:hAnsi="Calibri"/>
                <w:color w:val="1E1E1E"/>
                <w:sz w:val="17"/>
              </w:rPr>
              <w:t>Notebook 10: Hybrid fusion model</w:t>
            </w:r>
          </w:p>
        </w:tc>
        <w:tc>
          <w:tcPr>
            <w:tcW w:type="dxa" w:w="3000"/>
            <w:vAlign w:val="center"/>
          </w:tcPr>
          <w:p>
            <w:pPr>
              <w:spacing w:after="40"/>
            </w:pPr>
            <w:r>
              <w:rPr>
                <w:rFonts w:ascii="Calibri" w:hAnsi="Calibri"/>
                <w:color w:val="1E1E1E"/>
                <w:sz w:val="17"/>
              </w:rPr>
              <w:t>Foundations and proof of concept</w:t>
            </w:r>
          </w:p>
        </w:tc>
        <w:tc>
          <w:tcPr>
            <w:tcW w:type="dxa" w:w="3860"/>
            <w:vAlign w:val="center"/>
          </w:tcPr>
          <w:p>
            <w:pPr>
              <w:spacing w:after="40"/>
            </w:pPr>
            <w:r>
              <w:rPr>
                <w:rFonts w:ascii="Calibri" w:hAnsi="Calibri"/>
                <w:color w:val="1E1E1E"/>
                <w:sz w:val="17"/>
              </w:rPr>
              <w:t>Hybrid fusion model</w:t>
            </w:r>
          </w:p>
        </w:tc>
      </w:tr>
      <w:tr>
        <w:trPr>
          <w:cantSplit/>
        </w:trPr>
        <w:tc>
          <w:tcPr>
            <w:tcW w:type="dxa" w:w="2500"/>
            <w:vAlign w:val="center"/>
          </w:tcPr>
          <w:p>
            <w:pPr>
              <w:spacing w:after="40"/>
            </w:pPr>
            <w:r>
              <w:rPr>
                <w:rFonts w:ascii="Calibri" w:hAnsi="Calibri"/>
                <w:color w:val="1E1E1E"/>
                <w:sz w:val="17"/>
              </w:rPr>
              <w:t>Notebook 11: Final prediction pipeline</w:t>
            </w:r>
          </w:p>
        </w:tc>
        <w:tc>
          <w:tcPr>
            <w:tcW w:type="dxa" w:w="3000"/>
            <w:vAlign w:val="center"/>
          </w:tcPr>
          <w:p>
            <w:pPr>
              <w:spacing w:after="40"/>
            </w:pPr>
            <w:r>
              <w:rPr>
                <w:rFonts w:ascii="Calibri" w:hAnsi="Calibri"/>
                <w:color w:val="1E1E1E"/>
                <w:sz w:val="17"/>
              </w:rPr>
              <w:t>Foundations and proof of concept</w:t>
            </w:r>
          </w:p>
        </w:tc>
        <w:tc>
          <w:tcPr>
            <w:tcW w:type="dxa" w:w="3860"/>
            <w:vAlign w:val="center"/>
          </w:tcPr>
          <w:p>
            <w:pPr>
              <w:spacing w:after="40"/>
            </w:pPr>
            <w:r>
              <w:rPr>
                <w:rFonts w:ascii="Calibri" w:hAnsi="Calibri"/>
                <w:color w:val="1E1E1E"/>
                <w:sz w:val="17"/>
              </w:rPr>
              <w:t>Final prediction pipeline</w:t>
            </w:r>
          </w:p>
        </w:tc>
      </w:tr>
      <w:tr>
        <w:trPr>
          <w:cantSplit/>
        </w:trPr>
        <w:tc>
          <w:tcPr>
            <w:tcW w:type="dxa" w:w="2500"/>
            <w:vAlign w:val="center"/>
          </w:tcPr>
          <w:p>
            <w:pPr>
              <w:spacing w:after="40"/>
            </w:pPr>
            <w:r>
              <w:rPr>
                <w:rFonts w:ascii="Calibri" w:hAnsi="Calibri"/>
                <w:color w:val="1E1E1E"/>
                <w:sz w:val="17"/>
              </w:rPr>
              <w:t>Notebook 12: Expand 8genre pilot and retrain</w:t>
            </w:r>
          </w:p>
        </w:tc>
        <w:tc>
          <w:tcPr>
            <w:tcW w:type="dxa" w:w="3000"/>
            <w:vAlign w:val="center"/>
          </w:tcPr>
          <w:p>
            <w:pPr>
              <w:spacing w:after="40"/>
            </w:pPr>
            <w:r>
              <w:rPr>
                <w:rFonts w:ascii="Calibri" w:hAnsi="Calibri"/>
                <w:color w:val="1E1E1E"/>
                <w:sz w:val="17"/>
              </w:rPr>
              <w:t>Controlled genre expansion</w:t>
            </w:r>
          </w:p>
        </w:tc>
        <w:tc>
          <w:tcPr>
            <w:tcW w:type="dxa" w:w="3860"/>
            <w:vAlign w:val="center"/>
          </w:tcPr>
          <w:p>
            <w:pPr>
              <w:spacing w:after="40"/>
            </w:pPr>
            <w:r>
              <w:rPr>
                <w:rFonts w:ascii="Calibri" w:hAnsi="Calibri"/>
                <w:color w:val="1E1E1E"/>
                <w:sz w:val="17"/>
              </w:rPr>
              <w:t>Expand 8genre pilot and retrain</w:t>
            </w:r>
          </w:p>
        </w:tc>
      </w:tr>
      <w:tr>
        <w:trPr>
          <w:cantSplit/>
        </w:trPr>
        <w:tc>
          <w:tcPr>
            <w:tcW w:type="dxa" w:w="2500"/>
            <w:vAlign w:val="center"/>
          </w:tcPr>
          <w:p>
            <w:pPr>
              <w:spacing w:after="40"/>
            </w:pPr>
            <w:r>
              <w:rPr>
                <w:rFonts w:ascii="Calibri" w:hAnsi="Calibri"/>
                <w:color w:val="1E1E1E"/>
                <w:sz w:val="17"/>
              </w:rPr>
              <w:t>Notebook 13: Audio CNN expanded</w:t>
            </w:r>
          </w:p>
        </w:tc>
        <w:tc>
          <w:tcPr>
            <w:tcW w:type="dxa" w:w="3000"/>
            <w:vAlign w:val="center"/>
          </w:tcPr>
          <w:p>
            <w:pPr>
              <w:spacing w:after="40"/>
            </w:pPr>
            <w:r>
              <w:rPr>
                <w:rFonts w:ascii="Calibri" w:hAnsi="Calibri"/>
                <w:color w:val="1E1E1E"/>
                <w:sz w:val="17"/>
              </w:rPr>
              <w:t>Controlled genre expansion</w:t>
            </w:r>
          </w:p>
        </w:tc>
        <w:tc>
          <w:tcPr>
            <w:tcW w:type="dxa" w:w="3860"/>
            <w:vAlign w:val="center"/>
          </w:tcPr>
          <w:p>
            <w:pPr>
              <w:spacing w:after="40"/>
            </w:pPr>
            <w:r>
              <w:rPr>
                <w:rFonts w:ascii="Calibri" w:hAnsi="Calibri"/>
                <w:color w:val="1E1E1E"/>
                <w:sz w:val="17"/>
              </w:rPr>
              <w:t>Audio CNN expanded</w:t>
            </w:r>
          </w:p>
        </w:tc>
      </w:tr>
      <w:tr>
        <w:trPr>
          <w:cantSplit/>
        </w:trPr>
        <w:tc>
          <w:tcPr>
            <w:tcW w:type="dxa" w:w="2500"/>
            <w:vAlign w:val="center"/>
          </w:tcPr>
          <w:p>
            <w:pPr>
              <w:spacing w:after="40"/>
            </w:pPr>
            <w:r>
              <w:rPr>
                <w:rFonts w:ascii="Calibri" w:hAnsi="Calibri"/>
                <w:color w:val="1E1E1E"/>
                <w:sz w:val="17"/>
              </w:rPr>
              <w:t>Notebook 14: Structured model expanded</w:t>
            </w:r>
          </w:p>
        </w:tc>
        <w:tc>
          <w:tcPr>
            <w:tcW w:type="dxa" w:w="3000"/>
            <w:vAlign w:val="center"/>
          </w:tcPr>
          <w:p>
            <w:pPr>
              <w:spacing w:after="40"/>
            </w:pPr>
            <w:r>
              <w:rPr>
                <w:rFonts w:ascii="Calibri" w:hAnsi="Calibri"/>
                <w:color w:val="1E1E1E"/>
                <w:sz w:val="17"/>
              </w:rPr>
              <w:t>Controlled genre expansion</w:t>
            </w:r>
          </w:p>
        </w:tc>
        <w:tc>
          <w:tcPr>
            <w:tcW w:type="dxa" w:w="3860"/>
            <w:vAlign w:val="center"/>
          </w:tcPr>
          <w:p>
            <w:pPr>
              <w:spacing w:after="40"/>
            </w:pPr>
            <w:r>
              <w:rPr>
                <w:rFonts w:ascii="Calibri" w:hAnsi="Calibri"/>
                <w:color w:val="1E1E1E"/>
                <w:sz w:val="17"/>
              </w:rPr>
              <w:t>Structured model expanded</w:t>
            </w:r>
          </w:p>
        </w:tc>
      </w:tr>
      <w:tr>
        <w:trPr>
          <w:cantSplit/>
        </w:trPr>
        <w:tc>
          <w:tcPr>
            <w:tcW w:type="dxa" w:w="2500"/>
            <w:vAlign w:val="center"/>
          </w:tcPr>
          <w:p>
            <w:pPr>
              <w:spacing w:after="40"/>
            </w:pPr>
            <w:r>
              <w:rPr>
                <w:rFonts w:ascii="Calibri" w:hAnsi="Calibri"/>
                <w:color w:val="1E1E1E"/>
                <w:sz w:val="17"/>
              </w:rPr>
              <w:t>Notebook 15: Hybrid fusion expanded</w:t>
            </w:r>
          </w:p>
        </w:tc>
        <w:tc>
          <w:tcPr>
            <w:tcW w:type="dxa" w:w="3000"/>
            <w:vAlign w:val="center"/>
          </w:tcPr>
          <w:p>
            <w:pPr>
              <w:spacing w:after="40"/>
            </w:pPr>
            <w:r>
              <w:rPr>
                <w:rFonts w:ascii="Calibri" w:hAnsi="Calibri"/>
                <w:color w:val="1E1E1E"/>
                <w:sz w:val="17"/>
              </w:rPr>
              <w:t>Controlled genre expansion</w:t>
            </w:r>
          </w:p>
        </w:tc>
        <w:tc>
          <w:tcPr>
            <w:tcW w:type="dxa" w:w="3860"/>
            <w:vAlign w:val="center"/>
          </w:tcPr>
          <w:p>
            <w:pPr>
              <w:spacing w:after="40"/>
            </w:pPr>
            <w:r>
              <w:rPr>
                <w:rFonts w:ascii="Calibri" w:hAnsi="Calibri"/>
                <w:color w:val="1E1E1E"/>
                <w:sz w:val="17"/>
              </w:rPr>
              <w:t>Hybrid fusion expanded</w:t>
            </w:r>
          </w:p>
        </w:tc>
      </w:tr>
      <w:tr>
        <w:trPr>
          <w:cantSplit/>
        </w:trPr>
        <w:tc>
          <w:tcPr>
            <w:tcW w:type="dxa" w:w="2500"/>
            <w:vAlign w:val="center"/>
          </w:tcPr>
          <w:p>
            <w:pPr>
              <w:spacing w:after="40"/>
            </w:pPr>
            <w:r>
              <w:rPr>
                <w:rFonts w:ascii="Calibri" w:hAnsi="Calibri"/>
                <w:color w:val="1E1E1E"/>
                <w:sz w:val="17"/>
              </w:rPr>
              <w:t>Notebook 16: Build 10genre pilot</w:t>
            </w:r>
          </w:p>
        </w:tc>
        <w:tc>
          <w:tcPr>
            <w:tcW w:type="dxa" w:w="3000"/>
            <w:vAlign w:val="center"/>
          </w:tcPr>
          <w:p>
            <w:pPr>
              <w:spacing w:after="40"/>
            </w:pPr>
            <w:r>
              <w:rPr>
                <w:rFonts w:ascii="Calibri" w:hAnsi="Calibri"/>
                <w:color w:val="1E1E1E"/>
                <w:sz w:val="17"/>
              </w:rPr>
              <w:t>Controlled genre expansion</w:t>
            </w:r>
          </w:p>
        </w:tc>
        <w:tc>
          <w:tcPr>
            <w:tcW w:type="dxa" w:w="3860"/>
            <w:vAlign w:val="center"/>
          </w:tcPr>
          <w:p>
            <w:pPr>
              <w:spacing w:after="40"/>
            </w:pPr>
            <w:r>
              <w:rPr>
                <w:rFonts w:ascii="Calibri" w:hAnsi="Calibri"/>
                <w:color w:val="1E1E1E"/>
                <w:sz w:val="17"/>
              </w:rPr>
              <w:t>Build 10genre pilot</w:t>
            </w:r>
          </w:p>
        </w:tc>
      </w:tr>
      <w:tr>
        <w:trPr>
          <w:cantSplit/>
        </w:trPr>
        <w:tc>
          <w:tcPr>
            <w:tcW w:type="dxa" w:w="2500"/>
            <w:vAlign w:val="center"/>
          </w:tcPr>
          <w:p>
            <w:pPr>
              <w:spacing w:after="40"/>
            </w:pPr>
            <w:r>
              <w:rPr>
                <w:rFonts w:ascii="Calibri" w:hAnsi="Calibri"/>
                <w:color w:val="1E1E1E"/>
                <w:sz w:val="17"/>
              </w:rPr>
              <w:t>Notebook 17: Audio CNN 10genre</w:t>
            </w:r>
          </w:p>
        </w:tc>
        <w:tc>
          <w:tcPr>
            <w:tcW w:type="dxa" w:w="3000"/>
            <w:vAlign w:val="center"/>
          </w:tcPr>
          <w:p>
            <w:pPr>
              <w:spacing w:after="40"/>
            </w:pPr>
            <w:r>
              <w:rPr>
                <w:rFonts w:ascii="Calibri" w:hAnsi="Calibri"/>
                <w:color w:val="1E1E1E"/>
                <w:sz w:val="17"/>
              </w:rPr>
              <w:t>Controlled genre expansion</w:t>
            </w:r>
          </w:p>
        </w:tc>
        <w:tc>
          <w:tcPr>
            <w:tcW w:type="dxa" w:w="3860"/>
            <w:vAlign w:val="center"/>
          </w:tcPr>
          <w:p>
            <w:pPr>
              <w:spacing w:after="40"/>
            </w:pPr>
            <w:r>
              <w:rPr>
                <w:rFonts w:ascii="Calibri" w:hAnsi="Calibri"/>
                <w:color w:val="1E1E1E"/>
                <w:sz w:val="17"/>
              </w:rPr>
              <w:t>Audio CNN 10genre</w:t>
            </w:r>
          </w:p>
        </w:tc>
      </w:tr>
      <w:tr>
        <w:trPr>
          <w:cantSplit/>
        </w:trPr>
        <w:tc>
          <w:tcPr>
            <w:tcW w:type="dxa" w:w="2500"/>
            <w:vAlign w:val="center"/>
          </w:tcPr>
          <w:p>
            <w:pPr>
              <w:spacing w:after="40"/>
            </w:pPr>
            <w:r>
              <w:rPr>
                <w:rFonts w:ascii="Calibri" w:hAnsi="Calibri"/>
                <w:color w:val="1E1E1E"/>
                <w:sz w:val="17"/>
              </w:rPr>
              <w:t>Notebook 18: Structured model 10genre</w:t>
            </w:r>
          </w:p>
        </w:tc>
        <w:tc>
          <w:tcPr>
            <w:tcW w:type="dxa" w:w="3000"/>
            <w:vAlign w:val="center"/>
          </w:tcPr>
          <w:p>
            <w:pPr>
              <w:spacing w:after="40"/>
            </w:pPr>
            <w:r>
              <w:rPr>
                <w:rFonts w:ascii="Calibri" w:hAnsi="Calibri"/>
                <w:color w:val="1E1E1E"/>
                <w:sz w:val="17"/>
              </w:rPr>
              <w:t>Controlled genre expansion</w:t>
            </w:r>
          </w:p>
        </w:tc>
        <w:tc>
          <w:tcPr>
            <w:tcW w:type="dxa" w:w="3860"/>
            <w:vAlign w:val="center"/>
          </w:tcPr>
          <w:p>
            <w:pPr>
              <w:spacing w:after="40"/>
            </w:pPr>
            <w:r>
              <w:rPr>
                <w:rFonts w:ascii="Calibri" w:hAnsi="Calibri"/>
                <w:color w:val="1E1E1E"/>
                <w:sz w:val="17"/>
              </w:rPr>
              <w:t>Structured model 10genre</w:t>
            </w:r>
          </w:p>
        </w:tc>
      </w:tr>
      <w:tr>
        <w:trPr>
          <w:cantSplit/>
        </w:trPr>
        <w:tc>
          <w:tcPr>
            <w:tcW w:type="dxa" w:w="2500"/>
            <w:vAlign w:val="center"/>
          </w:tcPr>
          <w:p>
            <w:pPr>
              <w:spacing w:after="40"/>
            </w:pPr>
            <w:r>
              <w:rPr>
                <w:rFonts w:ascii="Calibri" w:hAnsi="Calibri"/>
                <w:color w:val="1E1E1E"/>
                <w:sz w:val="17"/>
              </w:rPr>
              <w:t>Notebook 19: Hybrid fusion 10genre</w:t>
            </w:r>
          </w:p>
        </w:tc>
        <w:tc>
          <w:tcPr>
            <w:tcW w:type="dxa" w:w="3000"/>
            <w:vAlign w:val="center"/>
          </w:tcPr>
          <w:p>
            <w:pPr>
              <w:spacing w:after="40"/>
            </w:pPr>
            <w:r>
              <w:rPr>
                <w:rFonts w:ascii="Calibri" w:hAnsi="Calibri"/>
                <w:color w:val="1E1E1E"/>
                <w:sz w:val="17"/>
              </w:rPr>
              <w:t>Controlled genre expansion</w:t>
            </w:r>
          </w:p>
        </w:tc>
        <w:tc>
          <w:tcPr>
            <w:tcW w:type="dxa" w:w="3860"/>
            <w:vAlign w:val="center"/>
          </w:tcPr>
          <w:p>
            <w:pPr>
              <w:spacing w:after="40"/>
            </w:pPr>
            <w:r>
              <w:rPr>
                <w:rFonts w:ascii="Calibri" w:hAnsi="Calibri"/>
                <w:color w:val="1E1E1E"/>
                <w:sz w:val="17"/>
              </w:rPr>
              <w:t>Hybrid fusion 10genre</w:t>
            </w:r>
          </w:p>
        </w:tc>
      </w:tr>
      <w:tr>
        <w:trPr>
          <w:cantSplit/>
        </w:trPr>
        <w:tc>
          <w:tcPr>
            <w:tcW w:type="dxa" w:w="2500"/>
            <w:vAlign w:val="center"/>
          </w:tcPr>
          <w:p>
            <w:pPr>
              <w:spacing w:after="40"/>
            </w:pPr>
            <w:r>
              <w:rPr>
                <w:rFonts w:ascii="Calibri" w:hAnsi="Calibri"/>
                <w:color w:val="1E1E1E"/>
                <w:sz w:val="17"/>
              </w:rPr>
              <w:t>Notebook 20: Final prediction pipeline 10genre</w:t>
            </w:r>
          </w:p>
        </w:tc>
        <w:tc>
          <w:tcPr>
            <w:tcW w:type="dxa" w:w="3000"/>
            <w:vAlign w:val="center"/>
          </w:tcPr>
          <w:p>
            <w:pPr>
              <w:spacing w:after="40"/>
            </w:pPr>
            <w:r>
              <w:rPr>
                <w:rFonts w:ascii="Calibri" w:hAnsi="Calibri"/>
                <w:color w:val="1E1E1E"/>
                <w:sz w:val="17"/>
              </w:rPr>
              <w:t>Controlled genre expansion</w:t>
            </w:r>
          </w:p>
        </w:tc>
        <w:tc>
          <w:tcPr>
            <w:tcW w:type="dxa" w:w="3860"/>
            <w:vAlign w:val="center"/>
          </w:tcPr>
          <w:p>
            <w:pPr>
              <w:spacing w:after="40"/>
            </w:pPr>
            <w:r>
              <w:rPr>
                <w:rFonts w:ascii="Calibri" w:hAnsi="Calibri"/>
                <w:color w:val="1E1E1E"/>
                <w:sz w:val="17"/>
              </w:rPr>
              <w:t>Final prediction pipeline 10genre</w:t>
            </w:r>
          </w:p>
        </w:tc>
      </w:tr>
      <w:tr>
        <w:trPr>
          <w:cantSplit/>
        </w:trPr>
        <w:tc>
          <w:tcPr>
            <w:tcW w:type="dxa" w:w="2500"/>
            <w:vAlign w:val="center"/>
          </w:tcPr>
          <w:p>
            <w:pPr>
              <w:spacing w:after="40"/>
            </w:pPr>
            <w:r>
              <w:rPr>
                <w:rFonts w:ascii="Calibri" w:hAnsi="Calibri"/>
                <w:color w:val="1E1E1E"/>
                <w:sz w:val="17"/>
              </w:rPr>
              <w:t>Notebook 21: Batch inference demo 10genre</w:t>
            </w:r>
          </w:p>
        </w:tc>
        <w:tc>
          <w:tcPr>
            <w:tcW w:type="dxa" w:w="3000"/>
            <w:vAlign w:val="center"/>
          </w:tcPr>
          <w:p>
            <w:pPr>
              <w:spacing w:after="40"/>
            </w:pPr>
            <w:r>
              <w:rPr>
                <w:rFonts w:ascii="Calibri" w:hAnsi="Calibri"/>
                <w:color w:val="1E1E1E"/>
                <w:sz w:val="17"/>
              </w:rPr>
              <w:t>Controlled genre expansion</w:t>
            </w:r>
          </w:p>
        </w:tc>
        <w:tc>
          <w:tcPr>
            <w:tcW w:type="dxa" w:w="3860"/>
            <w:vAlign w:val="center"/>
          </w:tcPr>
          <w:p>
            <w:pPr>
              <w:spacing w:after="40"/>
            </w:pPr>
            <w:r>
              <w:rPr>
                <w:rFonts w:ascii="Calibri" w:hAnsi="Calibri"/>
                <w:color w:val="1E1E1E"/>
                <w:sz w:val="17"/>
              </w:rPr>
              <w:t>Batch inference demo 10genre</w:t>
            </w:r>
          </w:p>
        </w:tc>
      </w:tr>
      <w:tr>
        <w:trPr>
          <w:cantSplit/>
        </w:trPr>
        <w:tc>
          <w:tcPr>
            <w:tcW w:type="dxa" w:w="2500"/>
            <w:vAlign w:val="center"/>
          </w:tcPr>
          <w:p>
            <w:pPr>
              <w:spacing w:after="40"/>
            </w:pPr>
            <w:r>
              <w:rPr>
                <w:rFonts w:ascii="Calibri" w:hAnsi="Calibri"/>
                <w:color w:val="1E1E1E"/>
                <w:sz w:val="17"/>
              </w:rPr>
              <w:t>Notebook 22: Final results summary and comparison</w:t>
            </w:r>
          </w:p>
        </w:tc>
        <w:tc>
          <w:tcPr>
            <w:tcW w:type="dxa" w:w="3000"/>
            <w:vAlign w:val="center"/>
          </w:tcPr>
          <w:p>
            <w:pPr>
              <w:spacing w:after="40"/>
            </w:pPr>
            <w:r>
              <w:rPr>
                <w:rFonts w:ascii="Calibri" w:hAnsi="Calibri"/>
                <w:color w:val="1E1E1E"/>
                <w:sz w:val="17"/>
              </w:rPr>
              <w:t>Controlled genre expansion</w:t>
            </w:r>
          </w:p>
        </w:tc>
        <w:tc>
          <w:tcPr>
            <w:tcW w:type="dxa" w:w="3860"/>
            <w:vAlign w:val="center"/>
          </w:tcPr>
          <w:p>
            <w:pPr>
              <w:spacing w:after="40"/>
            </w:pPr>
            <w:r>
              <w:rPr>
                <w:rFonts w:ascii="Calibri" w:hAnsi="Calibri"/>
                <w:color w:val="1E1E1E"/>
                <w:sz w:val="17"/>
              </w:rPr>
              <w:t>Final results summary and comparison</w:t>
            </w:r>
          </w:p>
        </w:tc>
      </w:tr>
      <w:tr>
        <w:trPr>
          <w:cantSplit/>
        </w:trPr>
        <w:tc>
          <w:tcPr>
            <w:tcW w:type="dxa" w:w="2500"/>
            <w:vAlign w:val="center"/>
          </w:tcPr>
          <w:p>
            <w:pPr>
              <w:spacing w:after="40"/>
            </w:pPr>
            <w:r>
              <w:rPr>
                <w:rFonts w:ascii="Calibri" w:hAnsi="Calibri"/>
                <w:color w:val="1E1E1E"/>
                <w:sz w:val="17"/>
              </w:rPr>
              <w:t>Notebook 23: Full genre inventory and multilabel prep</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Full genre inventory and multilabel prep</w:t>
            </w:r>
          </w:p>
        </w:tc>
      </w:tr>
      <w:tr>
        <w:trPr>
          <w:cantSplit/>
        </w:trPr>
        <w:tc>
          <w:tcPr>
            <w:tcW w:type="dxa" w:w="2500"/>
            <w:vAlign w:val="center"/>
          </w:tcPr>
          <w:p>
            <w:pPr>
              <w:spacing w:after="40"/>
            </w:pPr>
            <w:r>
              <w:rPr>
                <w:rFonts w:ascii="Calibri" w:hAnsi="Calibri"/>
                <w:color w:val="1E1E1E"/>
                <w:sz w:val="17"/>
              </w:rPr>
              <w:t>Notebook 24: Multilabel target matrix and split audit</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Multilabel target matrix and split audit</w:t>
            </w:r>
          </w:p>
        </w:tc>
      </w:tr>
      <w:tr>
        <w:trPr>
          <w:cantSplit/>
        </w:trPr>
        <w:tc>
          <w:tcPr>
            <w:tcW w:type="dxa" w:w="2500"/>
            <w:vAlign w:val="center"/>
          </w:tcPr>
          <w:p>
            <w:pPr>
              <w:spacing w:after="40"/>
            </w:pPr>
            <w:r>
              <w:rPr>
                <w:rFonts w:ascii="Calibri" w:hAnsi="Calibri"/>
                <w:color w:val="1E1E1E"/>
                <w:sz w:val="17"/>
              </w:rPr>
              <w:t>Notebook 25: Mongodb ingestion for multilabel phase</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Mongodb ingestion for multilabel phase</w:t>
            </w:r>
          </w:p>
        </w:tc>
      </w:tr>
      <w:tr>
        <w:trPr>
          <w:cantSplit/>
        </w:trPr>
        <w:tc>
          <w:tcPr>
            <w:tcW w:type="dxa" w:w="2500"/>
            <w:vAlign w:val="center"/>
          </w:tcPr>
          <w:p>
            <w:pPr>
              <w:spacing w:after="40"/>
            </w:pPr>
            <w:r>
              <w:rPr>
                <w:rFonts w:ascii="Calibri" w:hAnsi="Calibri"/>
                <w:color w:val="1E1E1E"/>
                <w:sz w:val="17"/>
              </w:rPr>
              <w:t>Notebook 26: Structured multilabel baseline Candidate-150</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Structured multilabel baseline Candidate-150</w:t>
            </w:r>
          </w:p>
        </w:tc>
      </w:tr>
      <w:tr>
        <w:trPr>
          <w:cantSplit/>
        </w:trPr>
        <w:tc>
          <w:tcPr>
            <w:tcW w:type="dxa" w:w="2500"/>
            <w:vAlign w:val="center"/>
          </w:tcPr>
          <w:p>
            <w:pPr>
              <w:spacing w:after="40"/>
            </w:pPr>
            <w:r>
              <w:rPr>
                <w:rFonts w:ascii="Calibri" w:hAnsi="Calibri"/>
                <w:color w:val="1E1E1E"/>
                <w:sz w:val="17"/>
              </w:rPr>
              <w:t>Notebook 27: Structured multilabel threshold tuning Candidate-150</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Structured multilabel threshold tuning Candidate-150</w:t>
            </w:r>
          </w:p>
        </w:tc>
      </w:tr>
      <w:tr>
        <w:trPr>
          <w:cantSplit/>
        </w:trPr>
        <w:tc>
          <w:tcPr>
            <w:tcW w:type="dxa" w:w="2500"/>
            <w:vAlign w:val="center"/>
          </w:tcPr>
          <w:p>
            <w:pPr>
              <w:spacing w:after="40"/>
            </w:pPr>
            <w:r>
              <w:rPr>
                <w:rFonts w:ascii="Calibri" w:hAnsi="Calibri"/>
                <w:color w:val="1E1E1E"/>
                <w:sz w:val="17"/>
              </w:rPr>
              <w:t>Notebook 28: Structured multilabel per label thresholds and topk decoding</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Structured multilabel per label thresholds and topk decoding</w:t>
            </w:r>
          </w:p>
        </w:tc>
      </w:tr>
      <w:tr>
        <w:trPr>
          <w:cantSplit/>
        </w:trPr>
        <w:tc>
          <w:tcPr>
            <w:tcW w:type="dxa" w:w="2500"/>
            <w:vAlign w:val="center"/>
          </w:tcPr>
          <w:p>
            <w:pPr>
              <w:spacing w:after="40"/>
            </w:pPr>
            <w:r>
              <w:rPr>
                <w:rFonts w:ascii="Calibri" w:hAnsi="Calibri"/>
                <w:color w:val="1E1E1E"/>
                <w:sz w:val="17"/>
              </w:rPr>
              <w:t>Notebook 29: Structured multilabel final upgrade Candidate-150</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Structured multilabel final upgrade Candidate-150</w:t>
            </w:r>
          </w:p>
        </w:tc>
      </w:tr>
      <w:tr>
        <w:trPr>
          <w:cantSplit/>
        </w:trPr>
        <w:tc>
          <w:tcPr>
            <w:tcW w:type="dxa" w:w="2500"/>
            <w:vAlign w:val="center"/>
          </w:tcPr>
          <w:p>
            <w:pPr>
              <w:spacing w:after="40"/>
            </w:pPr>
            <w:r>
              <w:rPr>
                <w:rFonts w:ascii="Calibri" w:hAnsi="Calibri"/>
                <w:color w:val="1E1E1E"/>
                <w:sz w:val="17"/>
              </w:rPr>
              <w:t>Notebook 30: Audio multilabel baseline Candidate-150 pilot</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Audio multilabel baseline Candidate-150 pilot</w:t>
            </w:r>
          </w:p>
        </w:tc>
      </w:tr>
      <w:tr>
        <w:trPr>
          <w:cantSplit/>
        </w:trPr>
        <w:tc>
          <w:tcPr>
            <w:tcW w:type="dxa" w:w="2500"/>
            <w:vAlign w:val="center"/>
          </w:tcPr>
          <w:p>
            <w:pPr>
              <w:spacing w:after="40"/>
            </w:pPr>
            <w:r>
              <w:rPr>
                <w:rFonts w:ascii="Calibri" w:hAnsi="Calibri"/>
                <w:color w:val="1E1E1E"/>
                <w:sz w:val="17"/>
              </w:rPr>
              <w:t>Notebook 31: Structured predictions for audio pilot Candidate-150</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Structured predictions for audio pilot Candidate-150</w:t>
            </w:r>
          </w:p>
        </w:tc>
      </w:tr>
      <w:tr>
        <w:trPr>
          <w:cantSplit/>
        </w:trPr>
        <w:tc>
          <w:tcPr>
            <w:tcW w:type="dxa" w:w="2500"/>
            <w:vAlign w:val="center"/>
          </w:tcPr>
          <w:p>
            <w:pPr>
              <w:spacing w:after="40"/>
            </w:pPr>
            <w:r>
              <w:rPr>
                <w:rFonts w:ascii="Calibri" w:hAnsi="Calibri"/>
                <w:color w:val="1E1E1E"/>
                <w:sz w:val="17"/>
              </w:rPr>
              <w:t>Notebook 32: Hybrid multilabel fusion Candidate-150 pilot</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Hybrid multilabel fusion Candidate-150 pilot</w:t>
            </w:r>
          </w:p>
        </w:tc>
      </w:tr>
      <w:tr>
        <w:trPr>
          <w:cantSplit/>
        </w:trPr>
        <w:tc>
          <w:tcPr>
            <w:tcW w:type="dxa" w:w="2500"/>
            <w:vAlign w:val="center"/>
          </w:tcPr>
          <w:p>
            <w:pPr>
              <w:spacing w:after="40"/>
            </w:pPr>
            <w:r>
              <w:rPr>
                <w:rFonts w:ascii="Calibri" w:hAnsi="Calibri"/>
                <w:color w:val="1E1E1E"/>
                <w:sz w:val="17"/>
              </w:rPr>
              <w:t>Notebook 33: Hybrid multilabel per label thresholds Candidate-150 pilot</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Hybrid multilabel per label thresholds Candidate-150 pilot</w:t>
            </w:r>
          </w:p>
        </w:tc>
      </w:tr>
      <w:tr>
        <w:trPr>
          <w:cantSplit/>
        </w:trPr>
        <w:tc>
          <w:tcPr>
            <w:tcW w:type="dxa" w:w="2500"/>
            <w:vAlign w:val="center"/>
          </w:tcPr>
          <w:p>
            <w:pPr>
              <w:spacing w:after="40"/>
            </w:pPr>
            <w:r>
              <w:rPr>
                <w:rFonts w:ascii="Calibri" w:hAnsi="Calibri"/>
                <w:color w:val="1E1E1E"/>
                <w:sz w:val="17"/>
              </w:rPr>
              <w:t>Notebook 34: Audio multilabel Candidate-150 expanded pilot</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Audio multilabel Candidate-150 expanded pilot</w:t>
            </w:r>
          </w:p>
        </w:tc>
      </w:tr>
      <w:tr>
        <w:trPr>
          <w:cantSplit/>
        </w:trPr>
        <w:tc>
          <w:tcPr>
            <w:tcW w:type="dxa" w:w="2500"/>
            <w:vAlign w:val="center"/>
          </w:tcPr>
          <w:p>
            <w:pPr>
              <w:spacing w:after="40"/>
            </w:pPr>
            <w:r>
              <w:rPr>
                <w:rFonts w:ascii="Calibri" w:hAnsi="Calibri"/>
                <w:color w:val="1E1E1E"/>
                <w:sz w:val="17"/>
              </w:rPr>
              <w:t>Notebook 35: Structured predictions for expanded audio Candidate-150</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Structured predictions for expanded audio Candidate-150</w:t>
            </w:r>
          </w:p>
        </w:tc>
      </w:tr>
      <w:tr>
        <w:trPr>
          <w:cantSplit/>
        </w:trPr>
        <w:tc>
          <w:tcPr>
            <w:tcW w:type="dxa" w:w="2500"/>
            <w:vAlign w:val="center"/>
          </w:tcPr>
          <w:p>
            <w:pPr>
              <w:spacing w:after="40"/>
            </w:pPr>
            <w:r>
              <w:rPr>
                <w:rFonts w:ascii="Calibri" w:hAnsi="Calibri"/>
                <w:color w:val="1E1E1E"/>
                <w:sz w:val="17"/>
              </w:rPr>
              <w:t>Notebook 36: Hybrid multilabel fusion Candidate-150 expanded</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Hybrid multilabel fusion Candidate-150 expanded</w:t>
            </w:r>
          </w:p>
        </w:tc>
      </w:tr>
      <w:tr>
        <w:trPr>
          <w:cantSplit/>
        </w:trPr>
        <w:tc>
          <w:tcPr>
            <w:tcW w:type="dxa" w:w="2500"/>
            <w:vAlign w:val="center"/>
          </w:tcPr>
          <w:p>
            <w:pPr>
              <w:spacing w:after="40"/>
            </w:pPr>
            <w:r>
              <w:rPr>
                <w:rFonts w:ascii="Calibri" w:hAnsi="Calibri"/>
                <w:color w:val="1E1E1E"/>
                <w:sz w:val="17"/>
              </w:rPr>
              <w:t>Notebook 37: Expanded hybrid multilabel per label thresholds and cap</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Expanded hybrid multilabel per label thresholds and cap</w:t>
            </w:r>
          </w:p>
        </w:tc>
      </w:tr>
      <w:tr>
        <w:trPr>
          <w:cantSplit/>
        </w:trPr>
        <w:tc>
          <w:tcPr>
            <w:tcW w:type="dxa" w:w="2500"/>
            <w:vAlign w:val="center"/>
          </w:tcPr>
          <w:p>
            <w:pPr>
              <w:spacing w:after="40"/>
            </w:pPr>
            <w:r>
              <w:rPr>
                <w:rFonts w:ascii="Calibri" w:hAnsi="Calibri"/>
                <w:color w:val="1E1E1E"/>
                <w:sz w:val="17"/>
              </w:rPr>
              <w:t>Notebook 38: Final Candidate-150 consolidation and report tables</w:t>
            </w:r>
          </w:p>
        </w:tc>
        <w:tc>
          <w:tcPr>
            <w:tcW w:type="dxa" w:w="3000"/>
            <w:vAlign w:val="center"/>
          </w:tcPr>
          <w:p>
            <w:pPr>
              <w:spacing w:after="40"/>
            </w:pPr>
            <w:r>
              <w:rPr>
                <w:rFonts w:ascii="Calibri" w:hAnsi="Calibri"/>
                <w:color w:val="1E1E1E"/>
                <w:sz w:val="17"/>
              </w:rPr>
              <w:t>Candidate-150 multi-label system</w:t>
            </w:r>
          </w:p>
        </w:tc>
        <w:tc>
          <w:tcPr>
            <w:tcW w:type="dxa" w:w="3860"/>
            <w:vAlign w:val="center"/>
          </w:tcPr>
          <w:p>
            <w:pPr>
              <w:spacing w:after="40"/>
            </w:pPr>
            <w:r>
              <w:rPr>
                <w:rFonts w:ascii="Calibri" w:hAnsi="Calibri"/>
                <w:color w:val="1E1E1E"/>
                <w:sz w:val="17"/>
              </w:rPr>
              <w:t>Final Candidate-150 consolidation and report tables</w:t>
            </w:r>
          </w:p>
        </w:tc>
      </w:tr>
      <w:tr>
        <w:trPr>
          <w:cantSplit/>
        </w:trPr>
        <w:tc>
          <w:tcPr>
            <w:tcW w:type="dxa" w:w="2500"/>
            <w:vAlign w:val="center"/>
          </w:tcPr>
          <w:p>
            <w:pPr>
              <w:spacing w:after="40"/>
            </w:pPr>
            <w:r>
              <w:rPr>
                <w:rFonts w:ascii="Calibri" w:hAnsi="Calibri"/>
                <w:color w:val="1E1E1E"/>
                <w:sz w:val="17"/>
              </w:rPr>
              <w:t>Notebook 39: Full 163 rare tail preparation and all genre strategy</w:t>
            </w:r>
          </w:p>
        </w:tc>
        <w:tc>
          <w:tcPr>
            <w:tcW w:type="dxa" w:w="3000"/>
            <w:vAlign w:val="center"/>
          </w:tcPr>
          <w:p>
            <w:pPr>
              <w:spacing w:after="40"/>
            </w:pPr>
            <w:r>
              <w:rPr>
                <w:rFonts w:ascii="Calibri" w:hAnsi="Calibri"/>
                <w:color w:val="1E1E1E"/>
                <w:sz w:val="17"/>
              </w:rPr>
              <w:t>Full 163-genre and rare-tail strategy</w:t>
            </w:r>
          </w:p>
        </w:tc>
        <w:tc>
          <w:tcPr>
            <w:tcW w:type="dxa" w:w="3860"/>
            <w:vAlign w:val="center"/>
          </w:tcPr>
          <w:p>
            <w:pPr>
              <w:spacing w:after="40"/>
            </w:pPr>
            <w:r>
              <w:rPr>
                <w:rFonts w:ascii="Calibri" w:hAnsi="Calibri"/>
                <w:color w:val="1E1E1E"/>
                <w:sz w:val="17"/>
              </w:rPr>
              <w:t>Full 163 rare tail preparation and all genre strategy</w:t>
            </w:r>
          </w:p>
        </w:tc>
      </w:tr>
      <w:tr>
        <w:trPr>
          <w:cantSplit/>
        </w:trPr>
        <w:tc>
          <w:tcPr>
            <w:tcW w:type="dxa" w:w="2500"/>
            <w:vAlign w:val="center"/>
          </w:tcPr>
          <w:p>
            <w:pPr>
              <w:spacing w:after="40"/>
            </w:pPr>
            <w:r>
              <w:rPr>
                <w:rFonts w:ascii="Calibri" w:hAnsi="Calibri"/>
                <w:color w:val="1E1E1E"/>
                <w:sz w:val="17"/>
              </w:rPr>
              <w:t>Notebook 40: Full 163 rare tail fallback router</w:t>
            </w:r>
          </w:p>
        </w:tc>
        <w:tc>
          <w:tcPr>
            <w:tcW w:type="dxa" w:w="3000"/>
            <w:vAlign w:val="center"/>
          </w:tcPr>
          <w:p>
            <w:pPr>
              <w:spacing w:after="40"/>
            </w:pPr>
            <w:r>
              <w:rPr>
                <w:rFonts w:ascii="Calibri" w:hAnsi="Calibri"/>
                <w:color w:val="1E1E1E"/>
                <w:sz w:val="17"/>
              </w:rPr>
              <w:t>Full 163-genre and rare-tail strategy</w:t>
            </w:r>
          </w:p>
        </w:tc>
        <w:tc>
          <w:tcPr>
            <w:tcW w:type="dxa" w:w="3860"/>
            <w:vAlign w:val="center"/>
          </w:tcPr>
          <w:p>
            <w:pPr>
              <w:spacing w:after="40"/>
            </w:pPr>
            <w:r>
              <w:rPr>
                <w:rFonts w:ascii="Calibri" w:hAnsi="Calibri"/>
                <w:color w:val="1E1E1E"/>
                <w:sz w:val="17"/>
              </w:rPr>
              <w:t>Full 163 rare tail fallback router</w:t>
            </w:r>
          </w:p>
        </w:tc>
      </w:tr>
      <w:tr>
        <w:trPr>
          <w:cantSplit/>
        </w:trPr>
        <w:tc>
          <w:tcPr>
            <w:tcW w:type="dxa" w:w="2500"/>
            <w:vAlign w:val="center"/>
          </w:tcPr>
          <w:p>
            <w:pPr>
              <w:spacing w:after="40"/>
            </w:pPr>
            <w:r>
              <w:rPr>
                <w:rFonts w:ascii="Calibri" w:hAnsi="Calibri"/>
                <w:color w:val="1E1E1E"/>
                <w:sz w:val="17"/>
              </w:rPr>
              <w:t>Notebook 41: Full 163 end to end inference pipeline</w:t>
            </w:r>
          </w:p>
        </w:tc>
        <w:tc>
          <w:tcPr>
            <w:tcW w:type="dxa" w:w="3000"/>
            <w:vAlign w:val="center"/>
          </w:tcPr>
          <w:p>
            <w:pPr>
              <w:spacing w:after="40"/>
            </w:pPr>
            <w:r>
              <w:rPr>
                <w:rFonts w:ascii="Calibri" w:hAnsi="Calibri"/>
                <w:color w:val="1E1E1E"/>
                <w:sz w:val="17"/>
              </w:rPr>
              <w:t>Full 163-genre and rare-tail strategy</w:t>
            </w:r>
          </w:p>
        </w:tc>
        <w:tc>
          <w:tcPr>
            <w:tcW w:type="dxa" w:w="3860"/>
            <w:vAlign w:val="center"/>
          </w:tcPr>
          <w:p>
            <w:pPr>
              <w:spacing w:after="40"/>
            </w:pPr>
            <w:r>
              <w:rPr>
                <w:rFonts w:ascii="Calibri" w:hAnsi="Calibri"/>
                <w:color w:val="1E1E1E"/>
                <w:sz w:val="17"/>
              </w:rPr>
              <w:t>Full 163 end to end inference pipeline</w:t>
            </w:r>
          </w:p>
        </w:tc>
      </w:tr>
      <w:tr>
        <w:trPr>
          <w:cantSplit/>
        </w:trPr>
        <w:tc>
          <w:tcPr>
            <w:tcW w:type="dxa" w:w="2500"/>
            <w:vAlign w:val="center"/>
          </w:tcPr>
          <w:p>
            <w:pPr>
              <w:spacing w:after="40"/>
            </w:pPr>
            <w:r>
              <w:rPr>
                <w:rFonts w:ascii="Calibri" w:hAnsi="Calibri"/>
                <w:color w:val="1E1E1E"/>
                <w:sz w:val="17"/>
              </w:rPr>
              <w:t>Notebook 42: Full 163 single file inference demo</w:t>
            </w:r>
          </w:p>
        </w:tc>
        <w:tc>
          <w:tcPr>
            <w:tcW w:type="dxa" w:w="3000"/>
            <w:vAlign w:val="center"/>
          </w:tcPr>
          <w:p>
            <w:pPr>
              <w:spacing w:after="40"/>
            </w:pPr>
            <w:r>
              <w:rPr>
                <w:rFonts w:ascii="Calibri" w:hAnsi="Calibri"/>
                <w:color w:val="1E1E1E"/>
                <w:sz w:val="17"/>
              </w:rPr>
              <w:t>Full 163-genre and rare-tail strategy</w:t>
            </w:r>
          </w:p>
        </w:tc>
        <w:tc>
          <w:tcPr>
            <w:tcW w:type="dxa" w:w="3860"/>
            <w:vAlign w:val="center"/>
          </w:tcPr>
          <w:p>
            <w:pPr>
              <w:spacing w:after="40"/>
            </w:pPr>
            <w:r>
              <w:rPr>
                <w:rFonts w:ascii="Calibri" w:hAnsi="Calibri"/>
                <w:color w:val="1E1E1E"/>
                <w:sz w:val="17"/>
              </w:rPr>
              <w:t>Full 163 single file inference demo</w:t>
            </w:r>
          </w:p>
        </w:tc>
      </w:tr>
      <w:tr>
        <w:trPr>
          <w:cantSplit/>
        </w:trPr>
        <w:tc>
          <w:tcPr>
            <w:tcW w:type="dxa" w:w="2500"/>
            <w:vAlign w:val="center"/>
          </w:tcPr>
          <w:p>
            <w:pPr>
              <w:spacing w:after="40"/>
            </w:pPr>
            <w:r>
              <w:rPr>
                <w:rFonts w:ascii="Calibri" w:hAnsi="Calibri"/>
                <w:color w:val="1E1E1E"/>
                <w:sz w:val="17"/>
              </w:rPr>
              <w:t>Notebook 43: Full 163 batch inference demo</w:t>
            </w:r>
          </w:p>
        </w:tc>
        <w:tc>
          <w:tcPr>
            <w:tcW w:type="dxa" w:w="3000"/>
            <w:vAlign w:val="center"/>
          </w:tcPr>
          <w:p>
            <w:pPr>
              <w:spacing w:after="40"/>
            </w:pPr>
            <w:r>
              <w:rPr>
                <w:rFonts w:ascii="Calibri" w:hAnsi="Calibri"/>
                <w:color w:val="1E1E1E"/>
                <w:sz w:val="17"/>
              </w:rPr>
              <w:t>Full 163-genre and rare-tail strategy</w:t>
            </w:r>
          </w:p>
        </w:tc>
        <w:tc>
          <w:tcPr>
            <w:tcW w:type="dxa" w:w="3860"/>
            <w:vAlign w:val="center"/>
          </w:tcPr>
          <w:p>
            <w:pPr>
              <w:spacing w:after="40"/>
            </w:pPr>
            <w:r>
              <w:rPr>
                <w:rFonts w:ascii="Calibri" w:hAnsi="Calibri"/>
                <w:color w:val="1E1E1E"/>
                <w:sz w:val="17"/>
              </w:rPr>
              <w:t>Full 163 batch inference demo</w:t>
            </w:r>
          </w:p>
        </w:tc>
      </w:tr>
      <w:tr>
        <w:trPr>
          <w:cantSplit/>
        </w:trPr>
        <w:tc>
          <w:tcPr>
            <w:tcW w:type="dxa" w:w="2500"/>
            <w:vAlign w:val="center"/>
          </w:tcPr>
          <w:p>
            <w:pPr>
              <w:spacing w:after="40"/>
            </w:pPr>
            <w:r>
              <w:rPr>
                <w:rFonts w:ascii="Calibri" w:hAnsi="Calibri"/>
                <w:color w:val="1E1E1E"/>
                <w:sz w:val="17"/>
              </w:rPr>
              <w:t>Notebook 44: Full 163 targeted rare tail batch demo</w:t>
            </w:r>
          </w:p>
        </w:tc>
        <w:tc>
          <w:tcPr>
            <w:tcW w:type="dxa" w:w="3000"/>
            <w:vAlign w:val="center"/>
          </w:tcPr>
          <w:p>
            <w:pPr>
              <w:spacing w:after="40"/>
            </w:pPr>
            <w:r>
              <w:rPr>
                <w:rFonts w:ascii="Calibri" w:hAnsi="Calibri"/>
                <w:color w:val="1E1E1E"/>
                <w:sz w:val="17"/>
              </w:rPr>
              <w:t>Full 163-genre and rare-tail strategy</w:t>
            </w:r>
          </w:p>
        </w:tc>
        <w:tc>
          <w:tcPr>
            <w:tcW w:type="dxa" w:w="3860"/>
            <w:vAlign w:val="center"/>
          </w:tcPr>
          <w:p>
            <w:pPr>
              <w:spacing w:after="40"/>
            </w:pPr>
            <w:r>
              <w:rPr>
                <w:rFonts w:ascii="Calibri" w:hAnsi="Calibri"/>
                <w:color w:val="1E1E1E"/>
                <w:sz w:val="17"/>
              </w:rPr>
              <w:t>Full 163 targeted rare tail batch demo</w:t>
            </w:r>
          </w:p>
        </w:tc>
      </w:tr>
      <w:tr>
        <w:trPr>
          <w:cantSplit/>
        </w:trPr>
        <w:tc>
          <w:tcPr>
            <w:tcW w:type="dxa" w:w="2500"/>
            <w:vAlign w:val="center"/>
          </w:tcPr>
          <w:p>
            <w:pPr>
              <w:spacing w:after="40"/>
            </w:pPr>
            <w:r>
              <w:rPr>
                <w:rFonts w:ascii="Calibri" w:hAnsi="Calibri"/>
                <w:color w:val="1E1E1E"/>
                <w:sz w:val="17"/>
              </w:rPr>
              <w:t>Notebook 45: Full 163 rare tail prototype reranker</w:t>
            </w:r>
          </w:p>
        </w:tc>
        <w:tc>
          <w:tcPr>
            <w:tcW w:type="dxa" w:w="3000"/>
            <w:vAlign w:val="center"/>
          </w:tcPr>
          <w:p>
            <w:pPr>
              <w:spacing w:after="40"/>
            </w:pPr>
            <w:r>
              <w:rPr>
                <w:rFonts w:ascii="Calibri" w:hAnsi="Calibri"/>
                <w:color w:val="1E1E1E"/>
                <w:sz w:val="17"/>
              </w:rPr>
              <w:t>Full 163-genre and rare-tail strategy</w:t>
            </w:r>
          </w:p>
        </w:tc>
        <w:tc>
          <w:tcPr>
            <w:tcW w:type="dxa" w:w="3860"/>
            <w:vAlign w:val="center"/>
          </w:tcPr>
          <w:p>
            <w:pPr>
              <w:spacing w:after="40"/>
            </w:pPr>
            <w:r>
              <w:rPr>
                <w:rFonts w:ascii="Calibri" w:hAnsi="Calibri"/>
                <w:color w:val="1E1E1E"/>
                <w:sz w:val="17"/>
              </w:rPr>
              <w:t>Full 163 rare tail prototype reranker</w:t>
            </w:r>
          </w:p>
        </w:tc>
      </w:tr>
      <w:tr>
        <w:trPr>
          <w:cantSplit/>
        </w:trPr>
        <w:tc>
          <w:tcPr>
            <w:tcW w:type="dxa" w:w="2500"/>
            <w:vAlign w:val="center"/>
          </w:tcPr>
          <w:p>
            <w:pPr>
              <w:spacing w:after="40"/>
            </w:pPr>
            <w:r>
              <w:rPr>
                <w:rFonts w:ascii="Calibri" w:hAnsi="Calibri"/>
                <w:color w:val="1E1E1E"/>
                <w:sz w:val="17"/>
              </w:rPr>
              <w:t>Notebook 46: Final full project consolidation</w:t>
            </w:r>
          </w:p>
        </w:tc>
        <w:tc>
          <w:tcPr>
            <w:tcW w:type="dxa" w:w="3000"/>
            <w:vAlign w:val="center"/>
          </w:tcPr>
          <w:p>
            <w:pPr>
              <w:spacing w:after="40"/>
            </w:pPr>
            <w:r>
              <w:rPr>
                <w:rFonts w:ascii="Calibri" w:hAnsi="Calibri"/>
                <w:color w:val="1E1E1E"/>
                <w:sz w:val="17"/>
              </w:rPr>
              <w:t>Full 163-genre and rare-tail strategy</w:t>
            </w:r>
          </w:p>
        </w:tc>
        <w:tc>
          <w:tcPr>
            <w:tcW w:type="dxa" w:w="3860"/>
            <w:vAlign w:val="center"/>
          </w:tcPr>
          <w:p>
            <w:pPr>
              <w:spacing w:after="40"/>
            </w:pPr>
            <w:r>
              <w:rPr>
                <w:rFonts w:ascii="Calibri" w:hAnsi="Calibri"/>
                <w:color w:val="1E1E1E"/>
                <w:sz w:val="17"/>
              </w:rPr>
              <w:t>Final full project consolidation</w:t>
            </w:r>
          </w:p>
        </w:tc>
      </w:tr>
      <w:tr>
        <w:trPr>
          <w:cantSplit/>
        </w:trPr>
        <w:tc>
          <w:tcPr>
            <w:tcW w:type="dxa" w:w="2500"/>
            <w:vAlign w:val="center"/>
          </w:tcPr>
          <w:p>
            <w:pPr>
              <w:spacing w:after="40"/>
            </w:pPr>
            <w:r>
              <w:rPr>
                <w:rFonts w:ascii="Calibri" w:hAnsi="Calibri"/>
                <w:color w:val="1E1E1E"/>
                <w:sz w:val="17"/>
              </w:rPr>
              <w:t>Notebook 47: Final audio inference pipeline</w:t>
            </w:r>
          </w:p>
        </w:tc>
        <w:tc>
          <w:tcPr>
            <w:tcW w:type="dxa" w:w="3000"/>
            <w:vAlign w:val="center"/>
          </w:tcPr>
          <w:p>
            <w:pPr>
              <w:spacing w:after="40"/>
            </w:pPr>
            <w:r>
              <w:rPr>
                <w:rFonts w:ascii="Calibri" w:hAnsi="Calibri"/>
                <w:color w:val="1E1E1E"/>
                <w:sz w:val="17"/>
              </w:rPr>
              <w:t>Full 163-genre and rare-tail strategy</w:t>
            </w:r>
          </w:p>
        </w:tc>
        <w:tc>
          <w:tcPr>
            <w:tcW w:type="dxa" w:w="3860"/>
            <w:vAlign w:val="center"/>
          </w:tcPr>
          <w:p>
            <w:pPr>
              <w:spacing w:after="40"/>
            </w:pPr>
            <w:r>
              <w:rPr>
                <w:rFonts w:ascii="Calibri" w:hAnsi="Calibri"/>
                <w:color w:val="1E1E1E"/>
                <w:sz w:val="17"/>
              </w:rPr>
              <w:t>Final audio inference pipeline</w:t>
            </w:r>
          </w:p>
        </w:tc>
      </w:tr>
      <w:tr>
        <w:trPr>
          <w:cantSplit/>
        </w:trPr>
        <w:tc>
          <w:tcPr>
            <w:tcW w:type="dxa" w:w="2500"/>
            <w:vAlign w:val="center"/>
          </w:tcPr>
          <w:p>
            <w:pPr>
              <w:spacing w:after="40"/>
            </w:pPr>
            <w:r>
              <w:rPr>
                <w:rFonts w:ascii="Calibri" w:hAnsi="Calibri"/>
                <w:color w:val="1E1E1E"/>
                <w:sz w:val="17"/>
              </w:rPr>
              <w:t>Notebook 47: Final audio inference pipeline patched multwindow safe stage2</w:t>
            </w:r>
          </w:p>
        </w:tc>
        <w:tc>
          <w:tcPr>
            <w:tcW w:type="dxa" w:w="3000"/>
            <w:vAlign w:val="center"/>
          </w:tcPr>
          <w:p>
            <w:pPr>
              <w:spacing w:after="40"/>
            </w:pPr>
            <w:r>
              <w:rPr>
                <w:rFonts w:ascii="Calibri" w:hAnsi="Calibri"/>
                <w:color w:val="1E1E1E"/>
                <w:sz w:val="17"/>
              </w:rPr>
              <w:t>Full 163-genre and rare-tail strategy</w:t>
            </w:r>
          </w:p>
        </w:tc>
        <w:tc>
          <w:tcPr>
            <w:tcW w:type="dxa" w:w="3860"/>
            <w:vAlign w:val="center"/>
          </w:tcPr>
          <w:p>
            <w:pPr>
              <w:spacing w:after="40"/>
            </w:pPr>
            <w:r>
              <w:rPr>
                <w:rFonts w:ascii="Calibri" w:hAnsi="Calibri"/>
                <w:color w:val="1E1E1E"/>
                <w:sz w:val="17"/>
              </w:rPr>
              <w:t>Final audio inference pipeline patched multwindow safe stage2</w:t>
            </w:r>
          </w:p>
        </w:tc>
      </w:tr>
      <w:tr>
        <w:trPr>
          <w:cantSplit/>
        </w:trPr>
        <w:tc>
          <w:tcPr>
            <w:tcW w:type="dxa" w:w="2500"/>
            <w:vAlign w:val="center"/>
          </w:tcPr>
          <w:p>
            <w:pPr>
              <w:spacing w:after="40"/>
            </w:pPr>
            <w:r>
              <w:rPr>
                <w:rFonts w:ascii="Calibri" w:hAnsi="Calibri"/>
                <w:color w:val="1E1E1E"/>
                <w:sz w:val="17"/>
              </w:rPr>
              <w:t>Notebook 48: Looped audio genre prediction with confidence</w:t>
            </w:r>
          </w:p>
        </w:tc>
        <w:tc>
          <w:tcPr>
            <w:tcW w:type="dxa" w:w="3000"/>
            <w:vAlign w:val="center"/>
          </w:tcPr>
          <w:p>
            <w:pPr>
              <w:spacing w:after="40"/>
            </w:pPr>
            <w:r>
              <w:rPr>
                <w:rFonts w:ascii="Calibri" w:hAnsi="Calibri"/>
                <w:color w:val="1E1E1E"/>
                <w:sz w:val="17"/>
              </w:rPr>
              <w:t>Final inference and evaluation</w:t>
            </w:r>
          </w:p>
        </w:tc>
        <w:tc>
          <w:tcPr>
            <w:tcW w:type="dxa" w:w="3860"/>
            <w:vAlign w:val="center"/>
          </w:tcPr>
          <w:p>
            <w:pPr>
              <w:spacing w:after="40"/>
            </w:pPr>
            <w:r>
              <w:rPr>
                <w:rFonts w:ascii="Calibri" w:hAnsi="Calibri"/>
                <w:color w:val="1E1E1E"/>
                <w:sz w:val="17"/>
              </w:rPr>
              <w:t>Looped audio genre prediction with confidence</w:t>
            </w:r>
          </w:p>
        </w:tc>
      </w:tr>
      <w:tr>
        <w:trPr>
          <w:cantSplit/>
        </w:trPr>
        <w:tc>
          <w:tcPr>
            <w:tcW w:type="dxa" w:w="2500"/>
            <w:vAlign w:val="center"/>
          </w:tcPr>
          <w:p>
            <w:pPr>
              <w:spacing w:after="40"/>
            </w:pPr>
            <w:r>
              <w:rPr>
                <w:rFonts w:ascii="Calibri" w:hAnsi="Calibri"/>
                <w:color w:val="1E1E1E"/>
                <w:sz w:val="17"/>
              </w:rPr>
              <w:t>Notebook 49: Final FMA test split batch evaluation</w:t>
            </w:r>
          </w:p>
        </w:tc>
        <w:tc>
          <w:tcPr>
            <w:tcW w:type="dxa" w:w="3000"/>
            <w:vAlign w:val="center"/>
          </w:tcPr>
          <w:p>
            <w:pPr>
              <w:spacing w:after="40"/>
            </w:pPr>
            <w:r>
              <w:rPr>
                <w:rFonts w:ascii="Calibri" w:hAnsi="Calibri"/>
                <w:color w:val="1E1E1E"/>
                <w:sz w:val="17"/>
              </w:rPr>
              <w:t>Final inference and evaluation</w:t>
            </w:r>
          </w:p>
        </w:tc>
        <w:tc>
          <w:tcPr>
            <w:tcW w:type="dxa" w:w="3860"/>
            <w:vAlign w:val="center"/>
          </w:tcPr>
          <w:p>
            <w:pPr>
              <w:spacing w:after="40"/>
            </w:pPr>
            <w:r>
              <w:rPr>
                <w:rFonts w:ascii="Calibri" w:hAnsi="Calibri"/>
                <w:color w:val="1E1E1E"/>
                <w:sz w:val="17"/>
              </w:rPr>
              <w:t>Final FMA test split batch evaluation</w:t>
            </w:r>
          </w:p>
        </w:tc>
      </w:tr>
      <w:tr>
        <w:trPr>
          <w:cantSplit/>
        </w:trPr>
        <w:tc>
          <w:tcPr>
            <w:tcW w:type="dxa" w:w="2500"/>
            <w:vAlign w:val="center"/>
          </w:tcPr>
          <w:p>
            <w:pPr>
              <w:spacing w:after="40"/>
            </w:pPr>
            <w:r>
              <w:rPr>
                <w:rFonts w:ascii="Calibri" w:hAnsi="Calibri"/>
                <w:color w:val="1E1E1E"/>
                <w:sz w:val="17"/>
              </w:rPr>
              <w:t>Notebook 50: External song batch windowed inference</w:t>
            </w:r>
          </w:p>
        </w:tc>
        <w:tc>
          <w:tcPr>
            <w:tcW w:type="dxa" w:w="3000"/>
            <w:vAlign w:val="center"/>
          </w:tcPr>
          <w:p>
            <w:pPr>
              <w:spacing w:after="40"/>
            </w:pPr>
            <w:r>
              <w:rPr>
                <w:rFonts w:ascii="Calibri" w:hAnsi="Calibri"/>
                <w:color w:val="1E1E1E"/>
                <w:sz w:val="17"/>
              </w:rPr>
              <w:t>Final inference and evaluation</w:t>
            </w:r>
          </w:p>
        </w:tc>
        <w:tc>
          <w:tcPr>
            <w:tcW w:type="dxa" w:w="3860"/>
            <w:vAlign w:val="center"/>
          </w:tcPr>
          <w:p>
            <w:pPr>
              <w:spacing w:after="40"/>
            </w:pPr>
            <w:r>
              <w:rPr>
                <w:rFonts w:ascii="Calibri" w:hAnsi="Calibri"/>
                <w:color w:val="1E1E1E"/>
                <w:sz w:val="17"/>
              </w:rPr>
              <w:t>External song batch windowed inference</w:t>
            </w:r>
          </w:p>
        </w:tc>
      </w:tr>
    </w:tbl>
    <w:p>
      <w:pPr>
        <w:spacing w:before="0" w:after="80"/>
      </w:pPr>
    </w:p>
    <w:p>
      <w:r/>
    </w:p>
    <w:p>
      <w:pPr>
        <w:pStyle w:val="Heading1"/>
      </w:pPr>
      <w:r>
        <w:t>Appendix B: Final Performance Snapshot</w:t>
      </w:r>
    </w:p>
    <w:tbl>
      <w:tblPr>
        <w:tblStyle w:val="TableGrid"/>
        <w:tblW w:type="dxa" w:w="9360"/>
        <w:tblLook w:firstColumn="1" w:firstRow="1" w:lastColumn="0" w:lastRow="0" w:noHBand="0" w:noVBand="1" w:val="04A0"/>
        <w:tblInd w:type="dxa" w:w="120"/>
      </w:tblPr>
      <w:tblGrid>
        <w:gridCol w:w="2200"/>
        <w:gridCol w:w="2500"/>
        <w:gridCol w:w="1700"/>
        <w:gridCol w:w="2960"/>
      </w:tblGrid>
      <w:tr>
        <w:trPr>
          <w:cantSplit/>
          <w:tblHeader/>
        </w:trPr>
        <w:tc>
          <w:tcPr>
            <w:tcW w:type="dxa" w:w="2200"/>
            <w:shd w:fill="1F4D78"/>
            <w:vAlign w:val="center"/>
          </w:tcPr>
          <w:p>
            <w:pPr>
              <w:spacing w:after="40"/>
              <w:jc w:val="center"/>
            </w:pPr>
            <w:r>
              <w:rPr>
                <w:rFonts w:ascii="Calibri" w:hAnsi="Calibri"/>
                <w:b/>
                <w:color w:val="FFFFFF"/>
                <w:sz w:val="18"/>
              </w:rPr>
              <w:t>Area</w:t>
            </w:r>
          </w:p>
        </w:tc>
        <w:tc>
          <w:tcPr>
            <w:tcW w:type="dxa" w:w="2500"/>
            <w:shd w:fill="1F4D78"/>
            <w:vAlign w:val="center"/>
          </w:tcPr>
          <w:p>
            <w:pPr>
              <w:spacing w:after="40"/>
              <w:jc w:val="center"/>
            </w:pPr>
            <w:r>
              <w:rPr>
                <w:rFonts w:ascii="Calibri" w:hAnsi="Calibri"/>
                <w:b/>
                <w:color w:val="FFFFFF"/>
                <w:sz w:val="18"/>
              </w:rPr>
              <w:t>Metric</w:t>
            </w:r>
          </w:p>
        </w:tc>
        <w:tc>
          <w:tcPr>
            <w:tcW w:type="dxa" w:w="1700"/>
            <w:shd w:fill="1F4D78"/>
            <w:vAlign w:val="center"/>
          </w:tcPr>
          <w:p>
            <w:pPr>
              <w:spacing w:after="40"/>
              <w:jc w:val="center"/>
            </w:pPr>
            <w:r>
              <w:rPr>
                <w:rFonts w:ascii="Calibri" w:hAnsi="Calibri"/>
                <w:b/>
                <w:color w:val="FFFFFF"/>
                <w:sz w:val="18"/>
              </w:rPr>
              <w:t>Value</w:t>
            </w:r>
          </w:p>
        </w:tc>
        <w:tc>
          <w:tcPr>
            <w:tcW w:type="dxa" w:w="2960"/>
            <w:shd w:fill="1F4D78"/>
            <w:vAlign w:val="center"/>
          </w:tcPr>
          <w:p>
            <w:pPr>
              <w:spacing w:after="40"/>
              <w:jc w:val="center"/>
            </w:pPr>
            <w:r>
              <w:rPr>
                <w:rFonts w:ascii="Calibri" w:hAnsi="Calibri"/>
                <w:b/>
                <w:color w:val="FFFFFF"/>
                <w:sz w:val="18"/>
              </w:rPr>
              <w:t>Interpretation</w:t>
            </w:r>
          </w:p>
        </w:tc>
      </w:tr>
      <w:tr>
        <w:trPr>
          <w:cantSplit/>
        </w:trPr>
        <w:tc>
          <w:tcPr>
            <w:tcW w:type="dxa" w:w="2200"/>
            <w:vAlign w:val="center"/>
          </w:tcPr>
          <w:p>
            <w:pPr>
              <w:spacing w:after="40"/>
            </w:pPr>
            <w:r>
              <w:rPr>
                <w:rFonts w:ascii="Calibri" w:hAnsi="Calibri"/>
                <w:color w:val="1E1E1E"/>
                <w:sz w:val="17"/>
              </w:rPr>
              <w:t>Candidate-150 benchmark</w:t>
            </w:r>
          </w:p>
        </w:tc>
        <w:tc>
          <w:tcPr>
            <w:tcW w:type="dxa" w:w="2500"/>
            <w:vAlign w:val="center"/>
          </w:tcPr>
          <w:p>
            <w:pPr>
              <w:spacing w:after="40"/>
            </w:pPr>
            <w:r>
              <w:rPr>
                <w:rFonts w:ascii="Calibri" w:hAnsi="Calibri"/>
                <w:color w:val="1E1E1E"/>
                <w:sz w:val="17"/>
              </w:rPr>
              <w:t>Best benchmark Micro F1</w:t>
            </w:r>
          </w:p>
        </w:tc>
        <w:tc>
          <w:tcPr>
            <w:tcW w:type="dxa" w:w="1700"/>
            <w:vAlign w:val="center"/>
          </w:tcPr>
          <w:p>
            <w:pPr>
              <w:spacing w:after="40"/>
            </w:pPr>
            <w:r>
              <w:rPr>
                <w:rFonts w:ascii="Calibri" w:hAnsi="Calibri"/>
                <w:color w:val="1E1E1E"/>
                <w:sz w:val="17"/>
              </w:rPr>
              <w:t>0.391</w:t>
            </w:r>
          </w:p>
        </w:tc>
        <w:tc>
          <w:tcPr>
            <w:tcW w:type="dxa" w:w="2960"/>
            <w:vAlign w:val="center"/>
          </w:tcPr>
          <w:p>
            <w:pPr>
              <w:spacing w:after="40"/>
            </w:pPr>
            <w:r>
              <w:rPr>
                <w:rFonts w:ascii="Calibri" w:hAnsi="Calibri"/>
                <w:color w:val="1E1E1E"/>
                <w:sz w:val="17"/>
              </w:rPr>
              <w:t>Best Candidate-150 benchmark.</w:t>
            </w:r>
          </w:p>
        </w:tc>
      </w:tr>
      <w:tr>
        <w:trPr>
          <w:cantSplit/>
        </w:trPr>
        <w:tc>
          <w:tcPr>
            <w:tcW w:type="dxa" w:w="2200"/>
            <w:vAlign w:val="center"/>
          </w:tcPr>
          <w:p>
            <w:pPr>
              <w:spacing w:after="40"/>
            </w:pPr>
            <w:r>
              <w:rPr>
                <w:rFonts w:ascii="Calibri" w:hAnsi="Calibri"/>
                <w:color w:val="1E1E1E"/>
                <w:sz w:val="17"/>
              </w:rPr>
              <w:t>Candidate-150 benchmark</w:t>
            </w:r>
          </w:p>
        </w:tc>
        <w:tc>
          <w:tcPr>
            <w:tcW w:type="dxa" w:w="2500"/>
            <w:vAlign w:val="center"/>
          </w:tcPr>
          <w:p>
            <w:pPr>
              <w:spacing w:after="40"/>
            </w:pPr>
            <w:r>
              <w:rPr>
                <w:rFonts w:ascii="Calibri" w:hAnsi="Calibri"/>
                <w:color w:val="1E1E1E"/>
                <w:sz w:val="17"/>
              </w:rPr>
              <w:t>Best conservative Micro F1</w:t>
            </w:r>
          </w:p>
        </w:tc>
        <w:tc>
          <w:tcPr>
            <w:tcW w:type="dxa" w:w="1700"/>
            <w:vAlign w:val="center"/>
          </w:tcPr>
          <w:p>
            <w:pPr>
              <w:spacing w:after="40"/>
            </w:pPr>
            <w:r>
              <w:rPr>
                <w:rFonts w:ascii="Calibri" w:hAnsi="Calibri"/>
                <w:color w:val="1E1E1E"/>
                <w:sz w:val="17"/>
              </w:rPr>
              <w:t>0.376</w:t>
            </w:r>
          </w:p>
        </w:tc>
        <w:tc>
          <w:tcPr>
            <w:tcW w:type="dxa" w:w="2960"/>
            <w:vAlign w:val="center"/>
          </w:tcPr>
          <w:p>
            <w:pPr>
              <w:spacing w:after="40"/>
            </w:pPr>
            <w:r>
              <w:rPr>
                <w:rFonts w:ascii="Calibri" w:hAnsi="Calibri"/>
                <w:color w:val="1E1E1E"/>
                <w:sz w:val="17"/>
              </w:rPr>
              <w:t>Cleaner optional output mode.</w:t>
            </w:r>
          </w:p>
        </w:tc>
      </w:tr>
      <w:tr>
        <w:trPr>
          <w:cantSplit/>
        </w:trPr>
        <w:tc>
          <w:tcPr>
            <w:tcW w:type="dxa" w:w="2200"/>
            <w:vAlign w:val="center"/>
          </w:tcPr>
          <w:p>
            <w:pPr>
              <w:spacing w:after="40"/>
            </w:pPr>
            <w:r>
              <w:rPr>
                <w:rFonts w:ascii="Calibri" w:hAnsi="Calibri"/>
                <w:color w:val="1E1E1E"/>
                <w:sz w:val="17"/>
              </w:rPr>
              <w:t>Full 163 random batch demo</w:t>
            </w:r>
          </w:p>
        </w:tc>
        <w:tc>
          <w:tcPr>
            <w:tcW w:type="dxa" w:w="2500"/>
            <w:vAlign w:val="center"/>
          </w:tcPr>
          <w:p>
            <w:pPr>
              <w:spacing w:after="40"/>
            </w:pPr>
            <w:r>
              <w:rPr>
                <w:rFonts w:ascii="Calibri" w:hAnsi="Calibri"/>
                <w:color w:val="1E1E1E"/>
                <w:sz w:val="17"/>
              </w:rPr>
              <w:t>Candidate hit-any rate</w:t>
            </w:r>
          </w:p>
        </w:tc>
        <w:tc>
          <w:tcPr>
            <w:tcW w:type="dxa" w:w="1700"/>
            <w:vAlign w:val="center"/>
          </w:tcPr>
          <w:p>
            <w:pPr>
              <w:spacing w:after="40"/>
            </w:pPr>
            <w:r>
              <w:rPr>
                <w:rFonts w:ascii="Calibri" w:hAnsi="Calibri"/>
                <w:color w:val="1E1E1E"/>
                <w:sz w:val="17"/>
              </w:rPr>
              <w:t>0.900</w:t>
            </w:r>
          </w:p>
        </w:tc>
        <w:tc>
          <w:tcPr>
            <w:tcW w:type="dxa" w:w="2960"/>
            <w:vAlign w:val="center"/>
          </w:tcPr>
          <w:p>
            <w:pPr>
              <w:spacing w:after="40"/>
            </w:pPr>
            <w:r>
              <w:rPr>
                <w:rFonts w:ascii="Calibri" w:hAnsi="Calibri"/>
                <w:color w:val="1E1E1E"/>
                <w:sz w:val="17"/>
              </w:rPr>
              <w:t>Batch demo result on a random sample.</w:t>
            </w:r>
          </w:p>
        </w:tc>
      </w:tr>
      <w:tr>
        <w:trPr>
          <w:cantSplit/>
        </w:trPr>
        <w:tc>
          <w:tcPr>
            <w:tcW w:type="dxa" w:w="2200"/>
            <w:vAlign w:val="center"/>
          </w:tcPr>
          <w:p>
            <w:pPr>
              <w:spacing w:after="40"/>
            </w:pPr>
            <w:r>
              <w:rPr>
                <w:rFonts w:ascii="Calibri" w:hAnsi="Calibri"/>
                <w:color w:val="1E1E1E"/>
                <w:sz w:val="17"/>
              </w:rPr>
              <w:t>Full 163 random batch demo</w:t>
            </w:r>
          </w:p>
        </w:tc>
        <w:tc>
          <w:tcPr>
            <w:tcW w:type="dxa" w:w="2500"/>
            <w:vAlign w:val="center"/>
          </w:tcPr>
          <w:p>
            <w:pPr>
              <w:spacing w:after="40"/>
            </w:pPr>
            <w:r>
              <w:rPr>
                <w:rFonts w:ascii="Calibri" w:hAnsi="Calibri"/>
                <w:color w:val="1E1E1E"/>
                <w:sz w:val="17"/>
              </w:rPr>
              <w:t>Average predicted candidate labels</w:t>
            </w:r>
          </w:p>
        </w:tc>
        <w:tc>
          <w:tcPr>
            <w:tcW w:type="dxa" w:w="1700"/>
            <w:vAlign w:val="center"/>
          </w:tcPr>
          <w:p>
            <w:pPr>
              <w:spacing w:after="40"/>
            </w:pPr>
            <w:r>
              <w:rPr>
                <w:rFonts w:ascii="Calibri" w:hAnsi="Calibri"/>
                <w:color w:val="1E1E1E"/>
                <w:sz w:val="17"/>
              </w:rPr>
              <w:t>4.33</w:t>
            </w:r>
          </w:p>
        </w:tc>
        <w:tc>
          <w:tcPr>
            <w:tcW w:type="dxa" w:w="2960"/>
            <w:vAlign w:val="center"/>
          </w:tcPr>
          <w:p>
            <w:pPr>
              <w:spacing w:after="40"/>
            </w:pPr>
            <w:r>
              <w:rPr>
                <w:rFonts w:ascii="Calibri" w:hAnsi="Calibri"/>
                <w:color w:val="1E1E1E"/>
                <w:sz w:val="17"/>
              </w:rPr>
              <w:t>Average number of Stage-1 direct predictions per sampled track</w:t>
            </w:r>
          </w:p>
        </w:tc>
      </w:tr>
      <w:tr>
        <w:trPr>
          <w:cantSplit/>
        </w:trPr>
        <w:tc>
          <w:tcPr>
            <w:tcW w:type="dxa" w:w="2200"/>
            <w:vAlign w:val="center"/>
          </w:tcPr>
          <w:p>
            <w:pPr>
              <w:spacing w:after="40"/>
            </w:pPr>
            <w:r>
              <w:rPr>
                <w:rFonts w:ascii="Calibri" w:hAnsi="Calibri"/>
                <w:color w:val="1E1E1E"/>
                <w:sz w:val="17"/>
              </w:rPr>
              <w:t>Full 163 random batch demo</w:t>
            </w:r>
          </w:p>
        </w:tc>
        <w:tc>
          <w:tcPr>
            <w:tcW w:type="dxa" w:w="2500"/>
            <w:vAlign w:val="center"/>
          </w:tcPr>
          <w:p>
            <w:pPr>
              <w:spacing w:after="40"/>
            </w:pPr>
            <w:r>
              <w:rPr>
                <w:rFonts w:ascii="Calibri" w:hAnsi="Calibri"/>
                <w:color w:val="1E1E1E"/>
                <w:sz w:val="17"/>
              </w:rPr>
              <w:t>Average rare-tail suggestions</w:t>
            </w:r>
          </w:p>
        </w:tc>
        <w:tc>
          <w:tcPr>
            <w:tcW w:type="dxa" w:w="1700"/>
            <w:vAlign w:val="center"/>
          </w:tcPr>
          <w:p>
            <w:pPr>
              <w:spacing w:after="40"/>
            </w:pPr>
            <w:r>
              <w:rPr>
                <w:rFonts w:ascii="Calibri" w:hAnsi="Calibri"/>
                <w:color w:val="1E1E1E"/>
                <w:sz w:val="17"/>
              </w:rPr>
              <w:t>0.467</w:t>
            </w:r>
          </w:p>
        </w:tc>
        <w:tc>
          <w:tcPr>
            <w:tcW w:type="dxa" w:w="2960"/>
            <w:vAlign w:val="center"/>
          </w:tcPr>
          <w:p>
            <w:pPr>
              <w:spacing w:after="40"/>
            </w:pPr>
            <w:r>
              <w:rPr>
                <w:rFonts w:ascii="Calibri" w:hAnsi="Calibri"/>
                <w:color w:val="1E1E1E"/>
                <w:sz w:val="17"/>
              </w:rPr>
              <w:t>Average Stage-2 suggestions per sampled track</w:t>
            </w:r>
          </w:p>
        </w:tc>
      </w:tr>
      <w:tr>
        <w:trPr>
          <w:cantSplit/>
        </w:trPr>
        <w:tc>
          <w:tcPr>
            <w:tcW w:type="dxa" w:w="2200"/>
            <w:vAlign w:val="center"/>
          </w:tcPr>
          <w:p>
            <w:pPr>
              <w:spacing w:after="40"/>
            </w:pPr>
            <w:r>
              <w:rPr>
                <w:rFonts w:ascii="Calibri" w:hAnsi="Calibri"/>
                <w:color w:val="1E1E1E"/>
                <w:sz w:val="17"/>
              </w:rPr>
              <w:t>Full 163 targeted rare-tail demo</w:t>
            </w:r>
          </w:p>
        </w:tc>
        <w:tc>
          <w:tcPr>
            <w:tcW w:type="dxa" w:w="2500"/>
            <w:vAlign w:val="center"/>
          </w:tcPr>
          <w:p>
            <w:pPr>
              <w:spacing w:after="40"/>
            </w:pPr>
            <w:r>
              <w:rPr>
                <w:rFonts w:ascii="Calibri" w:hAnsi="Calibri"/>
                <w:color w:val="1E1E1E"/>
                <w:sz w:val="17"/>
              </w:rPr>
              <w:t>Candidate hit-any rate</w:t>
            </w:r>
          </w:p>
        </w:tc>
        <w:tc>
          <w:tcPr>
            <w:tcW w:type="dxa" w:w="1700"/>
            <w:vAlign w:val="center"/>
          </w:tcPr>
          <w:p>
            <w:pPr>
              <w:spacing w:after="40"/>
            </w:pPr>
            <w:r>
              <w:rPr>
                <w:rFonts w:ascii="Calibri" w:hAnsi="Calibri"/>
                <w:color w:val="1E1E1E"/>
                <w:sz w:val="17"/>
              </w:rPr>
              <w:t>0.857</w:t>
            </w:r>
          </w:p>
        </w:tc>
        <w:tc>
          <w:tcPr>
            <w:tcW w:type="dxa" w:w="2960"/>
            <w:vAlign w:val="center"/>
          </w:tcPr>
          <w:p>
            <w:pPr>
              <w:spacing w:after="40"/>
            </w:pPr>
            <w:r>
              <w:rPr>
                <w:rFonts w:ascii="Calibri" w:hAnsi="Calibri"/>
                <w:color w:val="1E1E1E"/>
                <w:sz w:val="17"/>
              </w:rPr>
              <w:t>Stage-1 behaviour on rare-tail-containing tracks</w:t>
            </w:r>
          </w:p>
        </w:tc>
      </w:tr>
      <w:tr>
        <w:trPr>
          <w:cantSplit/>
        </w:trPr>
        <w:tc>
          <w:tcPr>
            <w:tcW w:type="dxa" w:w="2200"/>
            <w:vAlign w:val="center"/>
          </w:tcPr>
          <w:p>
            <w:pPr>
              <w:spacing w:after="40"/>
            </w:pPr>
            <w:r>
              <w:rPr>
                <w:rFonts w:ascii="Calibri" w:hAnsi="Calibri"/>
                <w:color w:val="1E1E1E"/>
                <w:sz w:val="17"/>
              </w:rPr>
              <w:t>Full 163 targeted rare-tail demo</w:t>
            </w:r>
          </w:p>
        </w:tc>
        <w:tc>
          <w:tcPr>
            <w:tcW w:type="dxa" w:w="2500"/>
            <w:vAlign w:val="center"/>
          </w:tcPr>
          <w:p>
            <w:pPr>
              <w:spacing w:after="40"/>
            </w:pPr>
            <w:r>
              <w:rPr>
                <w:rFonts w:ascii="Calibri" w:hAnsi="Calibri"/>
                <w:color w:val="1E1E1E"/>
                <w:sz w:val="17"/>
              </w:rPr>
              <w:t>Stage-2 suggestion coverage</w:t>
            </w:r>
          </w:p>
        </w:tc>
        <w:tc>
          <w:tcPr>
            <w:tcW w:type="dxa" w:w="1700"/>
            <w:vAlign w:val="center"/>
          </w:tcPr>
          <w:p>
            <w:pPr>
              <w:spacing w:after="40"/>
            </w:pPr>
            <w:r>
              <w:rPr>
                <w:rFonts w:ascii="Calibri" w:hAnsi="Calibri"/>
                <w:color w:val="1E1E1E"/>
                <w:sz w:val="17"/>
              </w:rPr>
              <w:t>0.657</w:t>
            </w:r>
          </w:p>
        </w:tc>
        <w:tc>
          <w:tcPr>
            <w:tcW w:type="dxa" w:w="2960"/>
            <w:vAlign w:val="center"/>
          </w:tcPr>
          <w:p>
            <w:pPr>
              <w:spacing w:after="40"/>
            </w:pPr>
            <w:r>
              <w:rPr>
                <w:rFonts w:ascii="Calibri" w:hAnsi="Calibri"/>
                <w:color w:val="1E1E1E"/>
                <w:sz w:val="17"/>
              </w:rPr>
              <w:t>How often Stage-2 surfaced a suggestion on targeted rare-tail tracks</w:t>
            </w:r>
          </w:p>
        </w:tc>
      </w:tr>
      <w:tr>
        <w:trPr>
          <w:cantSplit/>
        </w:trPr>
        <w:tc>
          <w:tcPr>
            <w:tcW w:type="dxa" w:w="2200"/>
            <w:vAlign w:val="center"/>
          </w:tcPr>
          <w:p>
            <w:pPr>
              <w:spacing w:after="40"/>
            </w:pPr>
            <w:r>
              <w:rPr>
                <w:rFonts w:ascii="Calibri" w:hAnsi="Calibri"/>
                <w:color w:val="1E1E1E"/>
                <w:sz w:val="17"/>
              </w:rPr>
              <w:t>Full 163 targeted rare-tail demo</w:t>
            </w:r>
          </w:p>
        </w:tc>
        <w:tc>
          <w:tcPr>
            <w:tcW w:type="dxa" w:w="2500"/>
            <w:vAlign w:val="center"/>
          </w:tcPr>
          <w:p>
            <w:pPr>
              <w:spacing w:after="40"/>
            </w:pPr>
            <w:r>
              <w:rPr>
                <w:rFonts w:ascii="Calibri" w:hAnsi="Calibri"/>
                <w:color w:val="1E1E1E"/>
                <w:sz w:val="17"/>
              </w:rPr>
              <w:t>Rare-tail hit-any rate</w:t>
            </w:r>
          </w:p>
        </w:tc>
        <w:tc>
          <w:tcPr>
            <w:tcW w:type="dxa" w:w="1700"/>
            <w:vAlign w:val="center"/>
          </w:tcPr>
          <w:p>
            <w:pPr>
              <w:spacing w:after="40"/>
            </w:pPr>
            <w:r>
              <w:rPr>
                <w:rFonts w:ascii="Calibri" w:hAnsi="Calibri"/>
                <w:color w:val="1E1E1E"/>
                <w:sz w:val="17"/>
              </w:rPr>
              <w:t>0.029</w:t>
            </w:r>
          </w:p>
        </w:tc>
        <w:tc>
          <w:tcPr>
            <w:tcW w:type="dxa" w:w="2960"/>
            <w:vAlign w:val="center"/>
          </w:tcPr>
          <w:p>
            <w:pPr>
              <w:spacing w:after="40"/>
            </w:pPr>
            <w:r>
              <w:rPr>
                <w:rFonts w:ascii="Calibri" w:hAnsi="Calibri"/>
                <w:color w:val="1E1E1E"/>
                <w:sz w:val="17"/>
              </w:rPr>
              <w:t>Pre-reranker Stage-2 success rate on targeted rare-tail tracks</w:t>
            </w:r>
          </w:p>
        </w:tc>
      </w:tr>
      <w:tr>
        <w:trPr>
          <w:cantSplit/>
        </w:trPr>
        <w:tc>
          <w:tcPr>
            <w:tcW w:type="dxa" w:w="2200"/>
            <w:vAlign w:val="center"/>
          </w:tcPr>
          <w:p>
            <w:pPr>
              <w:spacing w:after="40"/>
            </w:pPr>
            <w:r>
              <w:rPr>
                <w:rFonts w:ascii="Calibri" w:hAnsi="Calibri"/>
                <w:color w:val="1E1E1E"/>
                <w:sz w:val="17"/>
              </w:rPr>
              <w:t>Full 163 targeted rare-tail demo</w:t>
            </w:r>
          </w:p>
        </w:tc>
        <w:tc>
          <w:tcPr>
            <w:tcW w:type="dxa" w:w="2500"/>
            <w:vAlign w:val="center"/>
          </w:tcPr>
          <w:p>
            <w:pPr>
              <w:spacing w:after="40"/>
            </w:pPr>
            <w:r>
              <w:rPr>
                <w:rFonts w:ascii="Calibri" w:hAnsi="Calibri"/>
                <w:color w:val="1E1E1E"/>
                <w:sz w:val="17"/>
              </w:rPr>
              <w:t>Rare-tail exact top-1 hit rate</w:t>
            </w:r>
          </w:p>
        </w:tc>
        <w:tc>
          <w:tcPr>
            <w:tcW w:type="dxa" w:w="1700"/>
            <w:vAlign w:val="center"/>
          </w:tcPr>
          <w:p>
            <w:pPr>
              <w:spacing w:after="40"/>
            </w:pPr>
            <w:r>
              <w:rPr>
                <w:rFonts w:ascii="Calibri" w:hAnsi="Calibri"/>
                <w:color w:val="1E1E1E"/>
                <w:sz w:val="17"/>
              </w:rPr>
              <w:t>0.029</w:t>
            </w:r>
          </w:p>
        </w:tc>
        <w:tc>
          <w:tcPr>
            <w:tcW w:type="dxa" w:w="2960"/>
            <w:vAlign w:val="center"/>
          </w:tcPr>
          <w:p>
            <w:pPr>
              <w:spacing w:after="40"/>
            </w:pPr>
            <w:r>
              <w:rPr>
                <w:rFonts w:ascii="Calibri" w:hAnsi="Calibri"/>
                <w:color w:val="1E1E1E"/>
                <w:sz w:val="17"/>
              </w:rPr>
              <w:t>Pre-reranker top suggestion accuracy on targeted rare-tail tracks</w:t>
            </w:r>
          </w:p>
        </w:tc>
      </w:tr>
      <w:tr>
        <w:trPr>
          <w:cantSplit/>
        </w:trPr>
        <w:tc>
          <w:tcPr>
            <w:tcW w:type="dxa" w:w="2200"/>
            <w:vAlign w:val="center"/>
          </w:tcPr>
          <w:p>
            <w:pPr>
              <w:spacing w:after="40"/>
            </w:pPr>
            <w:r>
              <w:rPr>
                <w:rFonts w:ascii="Calibri" w:hAnsi="Calibri"/>
                <w:color w:val="1E1E1E"/>
                <w:sz w:val="17"/>
              </w:rPr>
              <w:t>Stage-2 reranker comparison</w:t>
            </w:r>
          </w:p>
        </w:tc>
        <w:tc>
          <w:tcPr>
            <w:tcW w:type="dxa" w:w="2500"/>
            <w:vAlign w:val="center"/>
          </w:tcPr>
          <w:p>
            <w:pPr>
              <w:spacing w:after="40"/>
            </w:pPr>
            <w:r>
              <w:rPr>
                <w:rFonts w:ascii="Calibri" w:hAnsi="Calibri"/>
                <w:color w:val="1E1E1E"/>
                <w:sz w:val="17"/>
              </w:rPr>
              <w:t>Baseline rare-tail hit-any rate</w:t>
            </w:r>
          </w:p>
        </w:tc>
        <w:tc>
          <w:tcPr>
            <w:tcW w:type="dxa" w:w="1700"/>
            <w:vAlign w:val="center"/>
          </w:tcPr>
          <w:p>
            <w:pPr>
              <w:spacing w:after="40"/>
            </w:pPr>
            <w:r>
              <w:rPr>
                <w:rFonts w:ascii="Calibri" w:hAnsi="Calibri"/>
                <w:color w:val="1E1E1E"/>
                <w:sz w:val="17"/>
              </w:rPr>
              <w:t>0.286</w:t>
            </w:r>
          </w:p>
        </w:tc>
        <w:tc>
          <w:tcPr>
            <w:tcW w:type="dxa" w:w="2960"/>
            <w:vAlign w:val="center"/>
          </w:tcPr>
          <w:p>
            <w:pPr>
              <w:spacing w:after="40"/>
            </w:pPr>
            <w:r>
              <w:rPr>
                <w:rFonts w:ascii="Calibri" w:hAnsi="Calibri"/>
                <w:color w:val="1E1E1E"/>
                <w:sz w:val="17"/>
              </w:rPr>
              <w:t>Baseline Stage-2 rare-tail test performance</w:t>
            </w:r>
          </w:p>
        </w:tc>
      </w:tr>
      <w:tr>
        <w:trPr>
          <w:cantSplit/>
        </w:trPr>
        <w:tc>
          <w:tcPr>
            <w:tcW w:type="dxa" w:w="2200"/>
            <w:vAlign w:val="center"/>
          </w:tcPr>
          <w:p>
            <w:pPr>
              <w:spacing w:after="40"/>
            </w:pPr>
            <w:r>
              <w:rPr>
                <w:rFonts w:ascii="Calibri" w:hAnsi="Calibri"/>
                <w:color w:val="1E1E1E"/>
                <w:sz w:val="17"/>
              </w:rPr>
              <w:t>Stage-2 reranker comparison</w:t>
            </w:r>
          </w:p>
        </w:tc>
        <w:tc>
          <w:tcPr>
            <w:tcW w:type="dxa" w:w="2500"/>
            <w:vAlign w:val="center"/>
          </w:tcPr>
          <w:p>
            <w:pPr>
              <w:spacing w:after="40"/>
            </w:pPr>
            <w:r>
              <w:rPr>
                <w:rFonts w:ascii="Calibri" w:hAnsi="Calibri"/>
                <w:color w:val="1E1E1E"/>
                <w:sz w:val="17"/>
              </w:rPr>
              <w:t>Best Stage-2 rare-tail hit-any rate</w:t>
            </w:r>
          </w:p>
        </w:tc>
        <w:tc>
          <w:tcPr>
            <w:tcW w:type="dxa" w:w="1700"/>
            <w:vAlign w:val="center"/>
          </w:tcPr>
          <w:p>
            <w:pPr>
              <w:spacing w:after="40"/>
            </w:pPr>
            <w:r>
              <w:rPr>
                <w:rFonts w:ascii="Calibri" w:hAnsi="Calibri"/>
                <w:color w:val="1E1E1E"/>
                <w:sz w:val="17"/>
              </w:rPr>
              <w:t>0.314</w:t>
            </w:r>
          </w:p>
        </w:tc>
        <w:tc>
          <w:tcPr>
            <w:tcW w:type="dxa" w:w="2960"/>
            <w:vAlign w:val="center"/>
          </w:tcPr>
          <w:p>
            <w:pPr>
              <w:spacing w:after="40"/>
            </w:pPr>
            <w:r>
              <w:rPr>
                <w:rFonts w:ascii="Calibri" w:hAnsi="Calibri"/>
                <w:color w:val="1E1E1E"/>
                <w:sz w:val="17"/>
              </w:rPr>
              <w:t>Final frozen Stage-2 rare-tail test performance</w:t>
            </w:r>
          </w:p>
        </w:tc>
      </w:tr>
    </w:tbl>
    <w:p>
      <w:pPr>
        <w:spacing w:before="0" w:after="80"/>
      </w:pPr>
    </w:p>
    <w:p>
      <w:pPr>
        <w:pStyle w:val="Heading1"/>
      </w:pPr>
      <w:r>
        <w:t>Appendix C: External Test Set Manifest Summary</w:t>
      </w:r>
    </w:p>
    <w:tbl>
      <w:tblPr>
        <w:tblStyle w:val="TableGrid"/>
        <w:tblW w:type="dxa" w:w="9360"/>
        <w:tblLook w:firstColumn="1" w:firstRow="1" w:lastColumn="0" w:lastRow="0" w:noHBand="0" w:noVBand="1" w:val="04A0"/>
        <w:tblInd w:type="dxa" w:w="120"/>
      </w:tblPr>
      <w:tblGrid>
        <w:gridCol w:w="1800"/>
        <w:gridCol w:w="900"/>
        <w:gridCol w:w="6660"/>
      </w:tblGrid>
      <w:tr>
        <w:trPr>
          <w:cantSplit/>
          <w:tblHeader/>
        </w:trPr>
        <w:tc>
          <w:tcPr>
            <w:tcW w:type="dxa" w:w="1800"/>
            <w:shd w:fill="1F4D78"/>
            <w:vAlign w:val="center"/>
          </w:tcPr>
          <w:p>
            <w:pPr>
              <w:spacing w:after="40"/>
              <w:jc w:val="center"/>
            </w:pPr>
            <w:r>
              <w:rPr>
                <w:rFonts w:ascii="Calibri" w:hAnsi="Calibri"/>
                <w:b/>
                <w:color w:val="FFFFFF"/>
                <w:sz w:val="18"/>
              </w:rPr>
              <w:t>Target genre</w:t>
            </w:r>
          </w:p>
        </w:tc>
        <w:tc>
          <w:tcPr>
            <w:tcW w:type="dxa" w:w="900"/>
            <w:shd w:fill="1F4D78"/>
            <w:vAlign w:val="center"/>
          </w:tcPr>
          <w:p>
            <w:pPr>
              <w:spacing w:after="40"/>
              <w:jc w:val="center"/>
            </w:pPr>
            <w:r>
              <w:rPr>
                <w:rFonts w:ascii="Calibri" w:hAnsi="Calibri"/>
                <w:b/>
                <w:color w:val="FFFFFF"/>
                <w:sz w:val="18"/>
              </w:rPr>
              <w:t>Songs</w:t>
            </w:r>
          </w:p>
        </w:tc>
        <w:tc>
          <w:tcPr>
            <w:tcW w:type="dxa" w:w="6660"/>
            <w:shd w:fill="1F4D78"/>
            <w:vAlign w:val="center"/>
          </w:tcPr>
          <w:p>
            <w:pPr>
              <w:spacing w:after="40"/>
              <w:jc w:val="center"/>
            </w:pPr>
            <w:r>
              <w:rPr>
                <w:rFonts w:ascii="Calibri" w:hAnsi="Calibri"/>
                <w:b/>
                <w:color w:val="FFFFFF"/>
                <w:sz w:val="18"/>
              </w:rPr>
              <w:t>Primary acceptable labels</w:t>
            </w:r>
          </w:p>
        </w:tc>
      </w:tr>
      <w:tr>
        <w:trPr>
          <w:cantSplit/>
        </w:trPr>
        <w:tc>
          <w:tcPr>
            <w:tcW w:type="dxa" w:w="1800"/>
            <w:vAlign w:val="center"/>
          </w:tcPr>
          <w:p>
            <w:pPr>
              <w:spacing w:after="40"/>
            </w:pPr>
            <w:r>
              <w:rPr>
                <w:rFonts w:ascii="Calibri" w:hAnsi="Calibri"/>
                <w:color w:val="1E1E1E"/>
                <w:sz w:val="17"/>
              </w:rPr>
              <w:t>Rock</w:t>
            </w:r>
          </w:p>
        </w:tc>
        <w:tc>
          <w:tcPr>
            <w:tcW w:type="dxa" w:w="900"/>
            <w:vAlign w:val="center"/>
          </w:tcPr>
          <w:p>
            <w:pPr>
              <w:spacing w:after="40"/>
            </w:pPr>
            <w:r>
              <w:rPr>
                <w:rFonts w:ascii="Calibri" w:hAnsi="Calibri"/>
                <w:color w:val="1E1E1E"/>
                <w:sz w:val="17"/>
              </w:rPr>
              <w:t>10</w:t>
            </w:r>
          </w:p>
        </w:tc>
        <w:tc>
          <w:tcPr>
            <w:tcW w:type="dxa" w:w="6660"/>
            <w:vAlign w:val="center"/>
          </w:tcPr>
          <w:p>
            <w:pPr>
              <w:spacing w:after="40"/>
            </w:pPr>
            <w:r>
              <w:rPr>
                <w:rFonts w:ascii="Calibri" w:hAnsi="Calibri"/>
                <w:color w:val="1E1E1E"/>
                <w:sz w:val="17"/>
              </w:rPr>
              <w:t>Rock, Punk, Lo-Fi, Indie-Rock, Garage, Psych-Rock, Industrial, Metal, Post-Rock and related labels.</w:t>
            </w:r>
          </w:p>
        </w:tc>
      </w:tr>
      <w:tr>
        <w:trPr>
          <w:cantSplit/>
        </w:trPr>
        <w:tc>
          <w:tcPr>
            <w:tcW w:type="dxa" w:w="1800"/>
            <w:vAlign w:val="center"/>
          </w:tcPr>
          <w:p>
            <w:pPr>
              <w:spacing w:after="40"/>
            </w:pPr>
            <w:r>
              <w:rPr>
                <w:rFonts w:ascii="Calibri" w:hAnsi="Calibri"/>
                <w:color w:val="1E1E1E"/>
                <w:sz w:val="17"/>
              </w:rPr>
              <w:t>Electronic</w:t>
            </w:r>
          </w:p>
        </w:tc>
        <w:tc>
          <w:tcPr>
            <w:tcW w:type="dxa" w:w="900"/>
            <w:vAlign w:val="center"/>
          </w:tcPr>
          <w:p>
            <w:pPr>
              <w:spacing w:after="40"/>
            </w:pPr>
            <w:r>
              <w:rPr>
                <w:rFonts w:ascii="Calibri" w:hAnsi="Calibri"/>
                <w:color w:val="1E1E1E"/>
                <w:sz w:val="17"/>
              </w:rPr>
              <w:t>10</w:t>
            </w:r>
          </w:p>
        </w:tc>
        <w:tc>
          <w:tcPr>
            <w:tcW w:type="dxa" w:w="6660"/>
            <w:vAlign w:val="center"/>
          </w:tcPr>
          <w:p>
            <w:pPr>
              <w:spacing w:after="40"/>
            </w:pPr>
            <w:r>
              <w:rPr>
                <w:rFonts w:ascii="Calibri" w:hAnsi="Calibri"/>
                <w:color w:val="1E1E1E"/>
                <w:sz w:val="17"/>
              </w:rPr>
              <w:t>Electronic, Ambient Electronic, IDM, Glitch, Techno, Downtempo, Trip-Hop, House, Dubstep and related labels.</w:t>
            </w:r>
          </w:p>
        </w:tc>
      </w:tr>
      <w:tr>
        <w:trPr>
          <w:cantSplit/>
        </w:trPr>
        <w:tc>
          <w:tcPr>
            <w:tcW w:type="dxa" w:w="1800"/>
            <w:vAlign w:val="center"/>
          </w:tcPr>
          <w:p>
            <w:pPr>
              <w:spacing w:after="40"/>
            </w:pPr>
            <w:r>
              <w:rPr>
                <w:rFonts w:ascii="Calibri" w:hAnsi="Calibri"/>
                <w:color w:val="1E1E1E"/>
                <w:sz w:val="17"/>
              </w:rPr>
              <w:t>Experimental</w:t>
            </w:r>
          </w:p>
        </w:tc>
        <w:tc>
          <w:tcPr>
            <w:tcW w:type="dxa" w:w="900"/>
            <w:vAlign w:val="center"/>
          </w:tcPr>
          <w:p>
            <w:pPr>
              <w:spacing w:after="40"/>
            </w:pPr>
            <w:r>
              <w:rPr>
                <w:rFonts w:ascii="Calibri" w:hAnsi="Calibri"/>
                <w:color w:val="1E1E1E"/>
                <w:sz w:val="17"/>
              </w:rPr>
              <w:t>10</w:t>
            </w:r>
          </w:p>
        </w:tc>
        <w:tc>
          <w:tcPr>
            <w:tcW w:type="dxa" w:w="6660"/>
            <w:vAlign w:val="center"/>
          </w:tcPr>
          <w:p>
            <w:pPr>
              <w:spacing w:after="40"/>
            </w:pPr>
            <w:r>
              <w:rPr>
                <w:rFonts w:ascii="Calibri" w:hAnsi="Calibri"/>
                <w:color w:val="1E1E1E"/>
                <w:sz w:val="17"/>
              </w:rPr>
              <w:t>Experimental, Avant-Garde, Noise, Electroacoustic, Improv, Drone, Sound Collage and related labels.</w:t>
            </w:r>
          </w:p>
        </w:tc>
      </w:tr>
      <w:tr>
        <w:trPr>
          <w:cantSplit/>
        </w:trPr>
        <w:tc>
          <w:tcPr>
            <w:tcW w:type="dxa" w:w="1800"/>
            <w:vAlign w:val="center"/>
          </w:tcPr>
          <w:p>
            <w:pPr>
              <w:spacing w:after="40"/>
            </w:pPr>
            <w:r>
              <w:rPr>
                <w:rFonts w:ascii="Calibri" w:hAnsi="Calibri"/>
                <w:color w:val="1E1E1E"/>
                <w:sz w:val="17"/>
              </w:rPr>
              <w:t>Folk</w:t>
            </w:r>
          </w:p>
        </w:tc>
        <w:tc>
          <w:tcPr>
            <w:tcW w:type="dxa" w:w="900"/>
            <w:vAlign w:val="center"/>
          </w:tcPr>
          <w:p>
            <w:pPr>
              <w:spacing w:after="40"/>
            </w:pPr>
            <w:r>
              <w:rPr>
                <w:rFonts w:ascii="Calibri" w:hAnsi="Calibri"/>
                <w:color w:val="1E1E1E"/>
                <w:sz w:val="17"/>
              </w:rPr>
              <w:t>10</w:t>
            </w:r>
          </w:p>
        </w:tc>
        <w:tc>
          <w:tcPr>
            <w:tcW w:type="dxa" w:w="6660"/>
            <w:vAlign w:val="center"/>
          </w:tcPr>
          <w:p>
            <w:pPr>
              <w:spacing w:after="40"/>
            </w:pPr>
            <w:r>
              <w:rPr>
                <w:rFonts w:ascii="Calibri" w:hAnsi="Calibri"/>
                <w:color w:val="1E1E1E"/>
                <w:sz w:val="17"/>
              </w:rPr>
              <w:t>Folk, Singer-Songwriter, Psych-Folk, Freak-Folk and Free-Folk.</w:t>
            </w:r>
          </w:p>
        </w:tc>
      </w:tr>
      <w:tr>
        <w:trPr>
          <w:cantSplit/>
        </w:trPr>
        <w:tc>
          <w:tcPr>
            <w:tcW w:type="dxa" w:w="1800"/>
            <w:vAlign w:val="center"/>
          </w:tcPr>
          <w:p>
            <w:pPr>
              <w:spacing w:after="40"/>
            </w:pPr>
            <w:r>
              <w:rPr>
                <w:rFonts w:ascii="Calibri" w:hAnsi="Calibri"/>
                <w:color w:val="1E1E1E"/>
                <w:sz w:val="17"/>
              </w:rPr>
              <w:t>Hip-Hop</w:t>
            </w:r>
          </w:p>
        </w:tc>
        <w:tc>
          <w:tcPr>
            <w:tcW w:type="dxa" w:w="900"/>
            <w:vAlign w:val="center"/>
          </w:tcPr>
          <w:p>
            <w:pPr>
              <w:spacing w:after="40"/>
            </w:pPr>
            <w:r>
              <w:rPr>
                <w:rFonts w:ascii="Calibri" w:hAnsi="Calibri"/>
                <w:color w:val="1E1E1E"/>
                <w:sz w:val="17"/>
              </w:rPr>
              <w:t>10</w:t>
            </w:r>
          </w:p>
        </w:tc>
        <w:tc>
          <w:tcPr>
            <w:tcW w:type="dxa" w:w="6660"/>
            <w:vAlign w:val="center"/>
          </w:tcPr>
          <w:p>
            <w:pPr>
              <w:spacing w:after="40"/>
            </w:pPr>
            <w:r>
              <w:rPr>
                <w:rFonts w:ascii="Calibri" w:hAnsi="Calibri"/>
                <w:color w:val="1E1E1E"/>
                <w:sz w:val="17"/>
              </w:rPr>
              <w:t>Hip-Hop, Hip-Hop Beats, Alternative Hip-Hop, Rap, Abstract Hip-Hop and Breakbeat.</w:t>
            </w:r>
          </w:p>
        </w:tc>
      </w:tr>
      <w:tr>
        <w:trPr>
          <w:cantSplit/>
        </w:trPr>
        <w:tc>
          <w:tcPr>
            <w:tcW w:type="dxa" w:w="1800"/>
            <w:vAlign w:val="center"/>
          </w:tcPr>
          <w:p>
            <w:pPr>
              <w:spacing w:after="40"/>
            </w:pPr>
            <w:r>
              <w:rPr>
                <w:rFonts w:ascii="Calibri" w:hAnsi="Calibri"/>
                <w:color w:val="1E1E1E"/>
                <w:sz w:val="17"/>
              </w:rPr>
              <w:t>Pop</w:t>
            </w:r>
          </w:p>
        </w:tc>
        <w:tc>
          <w:tcPr>
            <w:tcW w:type="dxa" w:w="900"/>
            <w:vAlign w:val="center"/>
          </w:tcPr>
          <w:p>
            <w:pPr>
              <w:spacing w:after="40"/>
            </w:pPr>
            <w:r>
              <w:rPr>
                <w:rFonts w:ascii="Calibri" w:hAnsi="Calibri"/>
                <w:color w:val="1E1E1E"/>
                <w:sz w:val="17"/>
              </w:rPr>
              <w:t>10</w:t>
            </w:r>
          </w:p>
        </w:tc>
        <w:tc>
          <w:tcPr>
            <w:tcW w:type="dxa" w:w="6660"/>
            <w:vAlign w:val="center"/>
          </w:tcPr>
          <w:p>
            <w:pPr>
              <w:spacing w:after="40"/>
            </w:pPr>
            <w:r>
              <w:rPr>
                <w:rFonts w:ascii="Calibri" w:hAnsi="Calibri"/>
                <w:color w:val="1E1E1E"/>
                <w:sz w:val="17"/>
              </w:rPr>
              <w:t>Pop, Experimental Pop, Synth Pop and Power-Pop.</w:t>
            </w:r>
          </w:p>
        </w:tc>
      </w:tr>
    </w:tbl>
    <w:p>
      <w:pPr>
        <w:spacing w:before="0" w:after="80"/>
      </w:pPr>
    </w:p>
    <w:p>
      <w:pPr>
        <w:pStyle w:val="Heading1"/>
      </w:pPr>
      <w:r>
        <w:t>Appendix D: Source Materials Used</w:t>
      </w:r>
    </w:p>
    <w:p>
      <w:r>
        <w:t>Source base: approved proposal, course outline, earlier project drafts, reference presentation, capstone notebooks, CSV and JSON outputs, project diagrams, and the Notebook 49 and Notebook 50 result files stored in the project folder.</w:t>
      </w:r>
    </w:p>
    <w:p>
      <w:pPr/>
      <w:r>
        <w:t>The source materials were used to cross-check the project story against the files that were actually produced. The proposal and course outline were used for scope and assessment alignment. The notebooks and output files were used for the technical claims, especially the Notebook 49 and Notebook 50 results. Older drafts and diagrams were treated as background only where they matched the corrected 163-genre interpretation.</w:t>
      </w:r>
    </w:p>
    <w:sectPr w:rsidR="00FC693F" w:rsidRPr="0006063C" w:rsidSect="00034616">
      <w:headerReference w:type="default" r:id="rId9"/>
      <w:footerReference w:type="default" r:id="rId1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 xml:space="preserve">Julian Devonish | MSc Applied Data Science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8"/>
      </w:rPr>
      <w:t>FMA Music Genre Classification Capstone | Full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