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0B3D3A"/>
          <w:sz w:val="44"/>
        </w:rPr>
        <w:t>Code Documentation</w:t>
      </w:r>
    </w:p>
    <w:p>
      <w:pPr>
        <w:jc w:val="center"/>
      </w:pPr>
      <w:r>
        <w:rPr>
          <w:rFonts w:ascii="Arial" w:hAnsi="Arial"/>
          <w:b/>
          <w:sz w:val="26"/>
        </w:rPr>
        <w:t>Scalable Music Genre Classification and Audio Analytics Using the Free Music Archive Dataset</w:t>
      </w:r>
    </w:p>
    <w:p>
      <w:pPr>
        <w:jc w:val="center"/>
      </w:pPr>
      <w:r>
        <w:rPr>
          <w:rFonts w:ascii="Arial" w:hAnsi="Arial"/>
          <w:i/>
          <w:color w:val="5A5A5A"/>
          <w:sz w:val="22"/>
        </w:rPr>
        <w:t>Submission Artefact Explaining the Notebooks, Scripts, Outputs, and Demo Code</w:t>
      </w:r>
    </w:p>
    <w:p>
      <w:pPr>
        <w:jc w:val="center"/>
      </w:pPr>
      <w:r>
        <w:rPr>
          <w:rFonts w:ascii="Arial" w:hAnsi="Arial"/>
          <w:sz w:val="20"/>
        </w:rPr>
        <w:t>Student: Julian Devonish</w:t>
        <w:br/>
        <w:t>Programme: MSc Applied Data Science</w:t>
        <w:br/>
        <w:t>Course: COMP6830 - Data Science Capstone II</w:t>
        <w:br/>
        <w:t>Supervisor: Dr. Sean Miller</w:t>
        <w:br/>
        <w:t>Prepared: August 9, 2026</w:t>
      </w:r>
    </w:p>
    <w:p>
      <w:pPr>
        <w:pStyle w:val="Heading1"/>
      </w:pPr>
      <w:r>
        <w:rPr>
          <w:rFonts w:ascii="Arial" w:hAnsi="Arial"/>
          <w:color w:val="0B3D3A"/>
        </w:rPr>
        <w:t>Purpose of This Code Documentation</w:t>
      </w:r>
    </w:p>
    <w:p>
      <w:r>
        <w:rPr>
          <w:rFonts w:ascii="Arial" w:hAnsi="Arial"/>
          <w:b w:val="0"/>
          <w:i w:val="0"/>
          <w:sz w:val="21"/>
        </w:rPr>
        <w:t>This document explains the software artefacts submitted with the capstone project. It is intended to help a reviewer understand what each notebook, script, output folder, and deployment file does without having to open every file first.</w:t>
      </w:r>
    </w:p>
    <w:p>
      <w:r>
        <w:rPr>
          <w:rFonts w:ascii="Arial" w:hAnsi="Arial"/>
          <w:b w:val="0"/>
          <w:i w:val="0"/>
          <w:sz w:val="21"/>
        </w:rPr>
        <w:t>The main source code is contained in the Jupyter notebooks under notebook/. Executed notebook PDFs with code and visible outputs are stored under software artefacts/notebook_pdfs/. The Streamlit demo is implemented in streamlit_app.py and uses the trained model artefacts and metadata files kept in the project folder.</w:t>
      </w:r>
    </w:p>
    <w:p>
      <w:pPr>
        <w:jc w:val="center"/>
      </w:pPr>
      <w:r>
        <w:rPr>
          <w:rFonts w:ascii="Arial" w:hAnsi="Arial"/>
        </w:rPr>
        <w:drawing>
          <wp:inline xmlns:a="http://schemas.openxmlformats.org/drawingml/2006/main" xmlns:pic="http://schemas.openxmlformats.org/drawingml/2006/picture">
            <wp:extent cx="6217920" cy="3303270"/>
            <wp:docPr id="1" name="Picture 1"/>
            <wp:cNvGraphicFramePr>
              <a:graphicFrameLocks noChangeAspect="1"/>
            </wp:cNvGraphicFramePr>
            <a:graphic>
              <a:graphicData uri="http://schemas.openxmlformats.org/drawingml/2006/picture">
                <pic:pic>
                  <pic:nvPicPr>
                    <pic:cNvPr id="0" name="code_documentation_figure_1_architecture.png"/>
                    <pic:cNvPicPr/>
                  </pic:nvPicPr>
                  <pic:blipFill>
                    <a:blip r:embed="rId11"/>
                    <a:stretch>
                      <a:fillRect/>
                    </a:stretch>
                  </pic:blipFill>
                  <pic:spPr>
                    <a:xfrm>
                      <a:off x="0" y="0"/>
                      <a:ext cx="6217920" cy="3303270"/>
                    </a:xfrm>
                    <a:prstGeom prst="rect"/>
                  </pic:spPr>
                </pic:pic>
              </a:graphicData>
            </a:graphic>
          </wp:inline>
        </w:drawing>
      </w:r>
    </w:p>
    <w:p>
      <w:pPr>
        <w:jc w:val="center"/>
      </w:pPr>
      <w:r>
        <w:rPr>
          <w:rFonts w:ascii="Arial" w:hAnsi="Arial"/>
          <w:b/>
          <w:sz w:val="18"/>
        </w:rPr>
        <w:t>Figure 1. Code artefact architecture and submission relationship.</w:t>
      </w:r>
    </w:p>
    <w:p>
      <w:r>
        <w:rPr>
          <w:rFonts w:ascii="Arial" w:hAnsi="Arial"/>
          <w:b w:val="0"/>
          <w:i w:val="0"/>
          <w:sz w:val="21"/>
        </w:rPr>
        <w:t>Figure 1 shows how the codebase moves from data files to notebooks, final evaluation, deployment, and documentation. The notebooks record the research process. The Streamlit app demonstrates the final inference workflow in a user-facing form.</w:t>
      </w:r>
    </w:p>
    <w:p>
      <w:pPr>
        <w:pStyle w:val="Heading1"/>
      </w:pPr>
      <w:r>
        <w:rPr>
          <w:rFonts w:ascii="Arial" w:hAnsi="Arial"/>
          <w:color w:val="0B3D3A"/>
        </w:rPr>
        <w:t>Repository Structure</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0B3D3A"/>
          </w:tcPr>
          <w:p>
            <w:pPr>
              <w:spacing w:after="20"/>
            </w:pPr>
            <w:r>
              <w:rPr>
                <w:rFonts w:ascii="Arial" w:hAnsi="Arial"/>
                <w:b/>
                <w:color w:val="FFFFFF"/>
                <w:sz w:val="17"/>
              </w:rPr>
              <w:t>Folder or file</w:t>
            </w:r>
          </w:p>
        </w:tc>
        <w:tc>
          <w:tcPr>
            <w:tcW w:type="dxa" w:w="3312"/>
            <w:vAlign w:val="center"/>
            <w:shd w:fill="0B3D3A"/>
          </w:tcPr>
          <w:p>
            <w:pPr>
              <w:spacing w:after="20"/>
            </w:pPr>
            <w:r>
              <w:rPr>
                <w:rFonts w:ascii="Arial" w:hAnsi="Arial"/>
                <w:b/>
                <w:color w:val="FFFFFF"/>
                <w:sz w:val="17"/>
              </w:rPr>
              <w:t>Role</w:t>
            </w:r>
          </w:p>
        </w:tc>
        <w:tc>
          <w:tcPr>
            <w:tcW w:type="dxa" w:w="3312"/>
            <w:vAlign w:val="center"/>
            <w:shd w:fill="0B3D3A"/>
          </w:tcPr>
          <w:p>
            <w:pPr>
              <w:spacing w:after="20"/>
            </w:pPr>
            <w:r>
              <w:rPr>
                <w:rFonts w:ascii="Arial" w:hAnsi="Arial"/>
                <w:b/>
                <w:color w:val="FFFFFF"/>
                <w:sz w:val="17"/>
              </w:rPr>
              <w:t>Review notes</w:t>
            </w:r>
          </w:p>
        </w:tc>
      </w:tr>
      <w:tr>
        <w:tc>
          <w:tcPr>
            <w:tcW w:type="dxa" w:w="3312"/>
            <w:vAlign w:val="center"/>
          </w:tcPr>
          <w:p>
            <w:pPr>
              <w:spacing w:after="20"/>
            </w:pPr>
            <w:r>
              <w:rPr>
                <w:rFonts w:ascii="Arial" w:hAnsi="Arial"/>
                <w:sz w:val="17"/>
              </w:rPr>
              <w:t>notebook/</w:t>
            </w:r>
          </w:p>
        </w:tc>
        <w:tc>
          <w:tcPr>
            <w:tcW w:type="dxa" w:w="3312"/>
            <w:vAlign w:val="center"/>
          </w:tcPr>
          <w:p>
            <w:pPr>
              <w:spacing w:after="20"/>
            </w:pPr>
            <w:r>
              <w:rPr>
                <w:rFonts w:ascii="Arial" w:hAnsi="Arial"/>
                <w:sz w:val="17"/>
              </w:rPr>
              <w:t>Main Jupyter notebook source code from data understanding through final evaluation.</w:t>
            </w:r>
          </w:p>
        </w:tc>
        <w:tc>
          <w:tcPr>
            <w:tcW w:type="dxa" w:w="3312"/>
            <w:vAlign w:val="center"/>
          </w:tcPr>
          <w:p>
            <w:pPr>
              <w:spacing w:after="20"/>
            </w:pPr>
            <w:r>
              <w:rPr>
                <w:rFonts w:ascii="Arial" w:hAnsi="Arial"/>
                <w:sz w:val="17"/>
              </w:rPr>
              <w:t>Primary coding artefact. Read alongside notebook_pdfs for executed outputs.</w:t>
            </w:r>
          </w:p>
        </w:tc>
      </w:tr>
      <w:tr>
        <w:tc>
          <w:tcPr>
            <w:tcW w:type="dxa" w:w="3312"/>
            <w:vAlign w:val="center"/>
          </w:tcPr>
          <w:p>
            <w:pPr>
              <w:spacing w:after="20"/>
            </w:pPr>
            <w:r>
              <w:rPr>
                <w:rFonts w:ascii="Arial" w:hAnsi="Arial"/>
                <w:sz w:val="17"/>
              </w:rPr>
              <w:t>software artefacts/notebook_pdfs/</w:t>
            </w:r>
          </w:p>
        </w:tc>
        <w:tc>
          <w:tcPr>
            <w:tcW w:type="dxa" w:w="3312"/>
            <w:vAlign w:val="center"/>
          </w:tcPr>
          <w:p>
            <w:pPr>
              <w:spacing w:after="20"/>
            </w:pPr>
            <w:r>
              <w:rPr>
                <w:rFonts w:ascii="Arial" w:hAnsi="Arial"/>
                <w:sz w:val="17"/>
              </w:rPr>
              <w:t>PDF exports of notebooks with code and outputs.</w:t>
            </w:r>
          </w:p>
        </w:tc>
        <w:tc>
          <w:tcPr>
            <w:tcW w:type="dxa" w:w="3312"/>
            <w:vAlign w:val="center"/>
          </w:tcPr>
          <w:p>
            <w:pPr>
              <w:spacing w:after="20"/>
            </w:pPr>
            <w:r>
              <w:rPr>
                <w:rFonts w:ascii="Arial" w:hAnsi="Arial"/>
                <w:sz w:val="17"/>
              </w:rPr>
              <w:t>Useful for marking because code and output are visible without running the notebooks.</w:t>
            </w:r>
          </w:p>
        </w:tc>
      </w:tr>
      <w:tr>
        <w:tc>
          <w:tcPr>
            <w:tcW w:type="dxa" w:w="3312"/>
            <w:vAlign w:val="center"/>
          </w:tcPr>
          <w:p>
            <w:pPr>
              <w:spacing w:after="20"/>
            </w:pPr>
            <w:r>
              <w:rPr>
                <w:rFonts w:ascii="Arial" w:hAnsi="Arial"/>
                <w:sz w:val="17"/>
              </w:rPr>
              <w:t>software artefacts/executed_notebooks/</w:t>
            </w:r>
          </w:p>
        </w:tc>
        <w:tc>
          <w:tcPr>
            <w:tcW w:type="dxa" w:w="3312"/>
            <w:vAlign w:val="center"/>
          </w:tcPr>
          <w:p>
            <w:pPr>
              <w:spacing w:after="20"/>
            </w:pPr>
            <w:r>
              <w:rPr>
                <w:rFonts w:ascii="Arial" w:hAnsi="Arial"/>
                <w:sz w:val="17"/>
              </w:rPr>
              <w:t>Executed copies for notebooks 49 and 50.</w:t>
            </w:r>
          </w:p>
        </w:tc>
        <w:tc>
          <w:tcPr>
            <w:tcW w:type="dxa" w:w="3312"/>
            <w:vAlign w:val="center"/>
          </w:tcPr>
          <w:p>
            <w:pPr>
              <w:spacing w:after="20"/>
            </w:pPr>
            <w:r>
              <w:rPr>
                <w:rFonts w:ascii="Arial" w:hAnsi="Arial"/>
                <w:sz w:val="17"/>
              </w:rPr>
              <w:t>Preserves final internal and external evaluation runs.</w:t>
            </w:r>
          </w:p>
        </w:tc>
      </w:tr>
      <w:tr>
        <w:tc>
          <w:tcPr>
            <w:tcW w:type="dxa" w:w="3312"/>
            <w:vAlign w:val="center"/>
          </w:tcPr>
          <w:p>
            <w:pPr>
              <w:spacing w:after="20"/>
            </w:pPr>
            <w:r>
              <w:rPr>
                <w:rFonts w:ascii="Arial" w:hAnsi="Arial"/>
                <w:sz w:val="17"/>
              </w:rPr>
              <w:t>outputs/</w:t>
            </w:r>
          </w:p>
        </w:tc>
        <w:tc>
          <w:tcPr>
            <w:tcW w:type="dxa" w:w="3312"/>
            <w:vAlign w:val="center"/>
          </w:tcPr>
          <w:p>
            <w:pPr>
              <w:spacing w:after="20"/>
            </w:pPr>
            <w:r>
              <w:rPr>
                <w:rFonts w:ascii="Arial" w:hAnsi="Arial"/>
                <w:sz w:val="17"/>
              </w:rPr>
              <w:t>CSV, JSON, and summary files produced by final notebooks.</w:t>
            </w:r>
          </w:p>
        </w:tc>
        <w:tc>
          <w:tcPr>
            <w:tcW w:type="dxa" w:w="3312"/>
            <w:vAlign w:val="center"/>
          </w:tcPr>
          <w:p>
            <w:pPr>
              <w:spacing w:after="20"/>
            </w:pPr>
            <w:r>
              <w:rPr>
                <w:rFonts w:ascii="Arial" w:hAnsi="Arial"/>
                <w:sz w:val="17"/>
              </w:rPr>
              <w:t>Contains final Notebook 49 and Notebook 50 evidence files.</w:t>
            </w:r>
          </w:p>
        </w:tc>
      </w:tr>
      <w:tr>
        <w:tc>
          <w:tcPr>
            <w:tcW w:type="dxa" w:w="3312"/>
            <w:vAlign w:val="center"/>
          </w:tcPr>
          <w:p>
            <w:pPr>
              <w:spacing w:after="20"/>
            </w:pPr>
            <w:r>
              <w:rPr>
                <w:rFonts w:ascii="Arial" w:hAnsi="Arial"/>
                <w:sz w:val="17"/>
              </w:rPr>
              <w:t>models/</w:t>
            </w:r>
          </w:p>
        </w:tc>
        <w:tc>
          <w:tcPr>
            <w:tcW w:type="dxa" w:w="3312"/>
            <w:vAlign w:val="center"/>
          </w:tcPr>
          <w:p>
            <w:pPr>
              <w:spacing w:after="20"/>
            </w:pPr>
            <w:r>
              <w:rPr>
                <w:rFonts w:ascii="Arial" w:hAnsi="Arial"/>
                <w:sz w:val="17"/>
              </w:rPr>
              <w:t>Saved trained model artefacts and supporting files.</w:t>
            </w:r>
          </w:p>
        </w:tc>
        <w:tc>
          <w:tcPr>
            <w:tcW w:type="dxa" w:w="3312"/>
            <w:vAlign w:val="center"/>
          </w:tcPr>
          <w:p>
            <w:pPr>
              <w:spacing w:after="20"/>
            </w:pPr>
            <w:r>
              <w:rPr>
                <w:rFonts w:ascii="Arial" w:hAnsi="Arial"/>
                <w:sz w:val="17"/>
              </w:rPr>
              <w:t>Used by inference and deployment workflows.</w:t>
            </w:r>
          </w:p>
        </w:tc>
      </w:tr>
      <w:tr>
        <w:tc>
          <w:tcPr>
            <w:tcW w:type="dxa" w:w="3312"/>
            <w:vAlign w:val="center"/>
          </w:tcPr>
          <w:p>
            <w:pPr>
              <w:spacing w:after="20"/>
            </w:pPr>
            <w:r>
              <w:rPr>
                <w:rFonts w:ascii="Arial" w:hAnsi="Arial"/>
                <w:sz w:val="17"/>
              </w:rPr>
              <w:t>data/</w:t>
            </w:r>
          </w:p>
        </w:tc>
        <w:tc>
          <w:tcPr>
            <w:tcW w:type="dxa" w:w="3312"/>
            <w:vAlign w:val="center"/>
          </w:tcPr>
          <w:p>
            <w:pPr>
              <w:spacing w:after="20"/>
            </w:pPr>
            <w:r>
              <w:rPr>
                <w:rFonts w:ascii="Arial" w:hAnsi="Arial"/>
                <w:sz w:val="17"/>
              </w:rPr>
              <w:t>Data manifests, external audio manifest, and project data references.</w:t>
            </w:r>
          </w:p>
        </w:tc>
        <w:tc>
          <w:tcPr>
            <w:tcW w:type="dxa" w:w="3312"/>
            <w:vAlign w:val="center"/>
          </w:tcPr>
          <w:p>
            <w:pPr>
              <w:spacing w:after="20"/>
            </w:pPr>
            <w:r>
              <w:rPr>
                <w:rFonts w:ascii="Arial" w:hAnsi="Arial"/>
                <w:sz w:val="17"/>
              </w:rPr>
              <w:t>Large source audio may be excluded from Git where appropriate.</w:t>
            </w:r>
          </w:p>
        </w:tc>
      </w:tr>
      <w:tr>
        <w:tc>
          <w:tcPr>
            <w:tcW w:type="dxa" w:w="3312"/>
            <w:vAlign w:val="center"/>
          </w:tcPr>
          <w:p>
            <w:pPr>
              <w:spacing w:after="20"/>
            </w:pPr>
            <w:r>
              <w:rPr>
                <w:rFonts w:ascii="Arial" w:hAnsi="Arial"/>
                <w:sz w:val="17"/>
              </w:rPr>
              <w:t>streamlit_app.py</w:t>
            </w:r>
          </w:p>
        </w:tc>
        <w:tc>
          <w:tcPr>
            <w:tcW w:type="dxa" w:w="3312"/>
            <w:vAlign w:val="center"/>
          </w:tcPr>
          <w:p>
            <w:pPr>
              <w:spacing w:after="20"/>
            </w:pPr>
            <w:r>
              <w:rPr>
                <w:rFonts w:ascii="Arial" w:hAnsi="Arial"/>
                <w:sz w:val="17"/>
              </w:rPr>
              <w:t>Upload-based demo for ranked genre prediction.</w:t>
            </w:r>
          </w:p>
        </w:tc>
        <w:tc>
          <w:tcPr>
            <w:tcW w:type="dxa" w:w="3312"/>
            <w:vAlign w:val="center"/>
          </w:tcPr>
          <w:p>
            <w:pPr>
              <w:spacing w:after="20"/>
            </w:pPr>
            <w:r>
              <w:rPr>
                <w:rFonts w:ascii="Arial" w:hAnsi="Arial"/>
                <w:sz w:val="17"/>
              </w:rPr>
              <w:t>Uses 15-second audio windows and returns Top-k suggestions.</w:t>
            </w:r>
          </w:p>
        </w:tc>
      </w:tr>
      <w:tr>
        <w:tc>
          <w:tcPr>
            <w:tcW w:type="dxa" w:w="3312"/>
            <w:vAlign w:val="center"/>
          </w:tcPr>
          <w:p>
            <w:pPr>
              <w:spacing w:after="20"/>
            </w:pPr>
            <w:r>
              <w:rPr>
                <w:rFonts w:ascii="Arial" w:hAnsi="Arial"/>
                <w:sz w:val="17"/>
              </w:rPr>
              <w:t>documentation/</w:t>
            </w:r>
          </w:p>
        </w:tc>
        <w:tc>
          <w:tcPr>
            <w:tcW w:type="dxa" w:w="3312"/>
            <w:vAlign w:val="center"/>
          </w:tcPr>
          <w:p>
            <w:pPr>
              <w:spacing w:after="20"/>
            </w:pPr>
            <w:r>
              <w:rPr>
                <w:rFonts w:ascii="Arial" w:hAnsi="Arial"/>
                <w:sz w:val="17"/>
              </w:rPr>
              <w:t>Technical paper, management report, deployment notes, data dictionary, and this code documentation.</w:t>
            </w:r>
          </w:p>
        </w:tc>
        <w:tc>
          <w:tcPr>
            <w:tcW w:type="dxa" w:w="3312"/>
            <w:vAlign w:val="center"/>
          </w:tcPr>
          <w:p>
            <w:pPr>
              <w:spacing w:after="20"/>
            </w:pPr>
            <w:r>
              <w:rPr>
                <w:rFonts w:ascii="Arial" w:hAnsi="Arial"/>
                <w:sz w:val="17"/>
              </w:rPr>
              <w:t>Main submission documentation location.</w:t>
            </w:r>
          </w:p>
        </w:tc>
      </w:tr>
    </w:tbl>
    <w:p>
      <w:pPr>
        <w:pStyle w:val="Heading1"/>
      </w:pPr>
      <w:r>
        <w:rPr>
          <w:rFonts w:ascii="Arial" w:hAnsi="Arial"/>
          <w:color w:val="0B3D3A"/>
        </w:rPr>
        <w:t>Notebook Development Phases</w:t>
      </w:r>
    </w:p>
    <w:tbl>
      <w:tblPr>
        <w:tblStyle w:val="TableGrid"/>
        <w:tblW w:type="auto" w:w="0"/>
        <w:jc w:val="center"/>
        <w:tblLook w:firstColumn="1" w:firstRow="1" w:lastColumn="0" w:lastRow="0" w:noHBand="0" w:noVBand="1" w:val="04A0"/>
      </w:tblPr>
      <w:tblGrid>
        <w:gridCol w:w="1987"/>
        <w:gridCol w:w="1987"/>
        <w:gridCol w:w="1987"/>
        <w:gridCol w:w="1987"/>
        <w:gridCol w:w="1987"/>
      </w:tblGrid>
      <w:tr>
        <w:tc>
          <w:tcPr>
            <w:tcW w:type="dxa" w:w="1987"/>
            <w:vAlign w:val="center"/>
            <w:shd w:fill="0B3D3A"/>
          </w:tcPr>
          <w:p>
            <w:pPr>
              <w:spacing w:after="20"/>
            </w:pPr>
            <w:r>
              <w:rPr>
                <w:rFonts w:ascii="Arial" w:hAnsi="Arial"/>
                <w:b/>
                <w:color w:val="FFFFFF"/>
                <w:sz w:val="15"/>
              </w:rPr>
              <w:t>Notebook range</w:t>
            </w:r>
          </w:p>
        </w:tc>
        <w:tc>
          <w:tcPr>
            <w:tcW w:type="dxa" w:w="1987"/>
            <w:vAlign w:val="center"/>
            <w:shd w:fill="0B3D3A"/>
          </w:tcPr>
          <w:p>
            <w:pPr>
              <w:spacing w:after="20"/>
            </w:pPr>
            <w:r>
              <w:rPr>
                <w:rFonts w:ascii="Arial" w:hAnsi="Arial"/>
                <w:b/>
                <w:color w:val="FFFFFF"/>
                <w:sz w:val="15"/>
              </w:rPr>
              <w:t>Phase</w:t>
            </w:r>
          </w:p>
        </w:tc>
        <w:tc>
          <w:tcPr>
            <w:tcW w:type="dxa" w:w="1987"/>
            <w:vAlign w:val="center"/>
            <w:shd w:fill="0B3D3A"/>
          </w:tcPr>
          <w:p>
            <w:pPr>
              <w:spacing w:after="20"/>
            </w:pPr>
            <w:r>
              <w:rPr>
                <w:rFonts w:ascii="Arial" w:hAnsi="Arial"/>
                <w:b/>
                <w:color w:val="FFFFFF"/>
                <w:sz w:val="15"/>
              </w:rPr>
              <w:t>Count</w:t>
            </w:r>
          </w:p>
        </w:tc>
        <w:tc>
          <w:tcPr>
            <w:tcW w:type="dxa" w:w="1987"/>
            <w:vAlign w:val="center"/>
            <w:shd w:fill="0B3D3A"/>
          </w:tcPr>
          <w:p>
            <w:pPr>
              <w:spacing w:after="20"/>
            </w:pPr>
            <w:r>
              <w:rPr>
                <w:rFonts w:ascii="Arial" w:hAnsi="Arial"/>
                <w:b/>
                <w:color w:val="FFFFFF"/>
                <w:sz w:val="15"/>
              </w:rPr>
              <w:t>First artefact</w:t>
            </w:r>
          </w:p>
        </w:tc>
        <w:tc>
          <w:tcPr>
            <w:tcW w:type="dxa" w:w="1987"/>
            <w:vAlign w:val="center"/>
            <w:shd w:fill="0B3D3A"/>
          </w:tcPr>
          <w:p>
            <w:pPr>
              <w:spacing w:after="20"/>
            </w:pPr>
            <w:r>
              <w:rPr>
                <w:rFonts w:ascii="Arial" w:hAnsi="Arial"/>
                <w:b/>
                <w:color w:val="FFFFFF"/>
                <w:sz w:val="15"/>
              </w:rPr>
              <w:t>Last artefact</w:t>
            </w:r>
          </w:p>
        </w:tc>
      </w:tr>
      <w:tr>
        <w:tc>
          <w:tcPr>
            <w:tcW w:type="dxa" w:w="1987"/>
            <w:vAlign w:val="center"/>
          </w:tcPr>
          <w:p>
            <w:pPr>
              <w:spacing w:after="20"/>
            </w:pPr>
            <w:r>
              <w:rPr>
                <w:rFonts w:ascii="Arial" w:hAnsi="Arial"/>
                <w:sz w:val="15"/>
              </w:rPr>
              <w:t>01-06</w:t>
            </w:r>
          </w:p>
        </w:tc>
        <w:tc>
          <w:tcPr>
            <w:tcW w:type="dxa" w:w="1987"/>
            <w:vAlign w:val="center"/>
          </w:tcPr>
          <w:p>
            <w:pPr>
              <w:spacing w:after="20"/>
            </w:pPr>
            <w:r>
              <w:rPr>
                <w:rFonts w:ascii="Arial" w:hAnsi="Arial"/>
                <w:sz w:val="15"/>
              </w:rPr>
              <w:t>Foundation and structured modelling</w:t>
            </w:r>
          </w:p>
        </w:tc>
        <w:tc>
          <w:tcPr>
            <w:tcW w:type="dxa" w:w="1987"/>
            <w:vAlign w:val="center"/>
          </w:tcPr>
          <w:p>
            <w:pPr>
              <w:spacing w:after="20"/>
            </w:pPr>
            <w:r>
              <w:rPr>
                <w:rFonts w:ascii="Arial" w:hAnsi="Arial"/>
                <w:sz w:val="15"/>
              </w:rPr>
              <w:t>6</w:t>
            </w:r>
          </w:p>
        </w:tc>
        <w:tc>
          <w:tcPr>
            <w:tcW w:type="dxa" w:w="1987"/>
            <w:vAlign w:val="center"/>
          </w:tcPr>
          <w:p>
            <w:pPr>
              <w:spacing w:after="20"/>
            </w:pPr>
            <w:r>
              <w:rPr>
                <w:rFonts w:ascii="Arial" w:hAnsi="Arial"/>
                <w:sz w:val="15"/>
              </w:rPr>
              <w:t>01_metadata_understanding.ipynb</w:t>
            </w:r>
          </w:p>
        </w:tc>
        <w:tc>
          <w:tcPr>
            <w:tcW w:type="dxa" w:w="1987"/>
            <w:vAlign w:val="center"/>
          </w:tcPr>
          <w:p>
            <w:pPr>
              <w:spacing w:after="20"/>
            </w:pPr>
            <w:r>
              <w:rPr>
                <w:rFonts w:ascii="Arial" w:hAnsi="Arial"/>
                <w:sz w:val="15"/>
              </w:rPr>
              <w:t>06_large_subset_analysis_and_structured_model.ipynb</w:t>
            </w:r>
          </w:p>
        </w:tc>
      </w:tr>
      <w:tr>
        <w:tc>
          <w:tcPr>
            <w:tcW w:type="dxa" w:w="1987"/>
            <w:vAlign w:val="center"/>
          </w:tcPr>
          <w:p>
            <w:pPr>
              <w:spacing w:after="20"/>
            </w:pPr>
            <w:r>
              <w:rPr>
                <w:rFonts w:ascii="Arial" w:hAnsi="Arial"/>
                <w:sz w:val="15"/>
              </w:rPr>
              <w:t>07-11</w:t>
            </w:r>
          </w:p>
        </w:tc>
        <w:tc>
          <w:tcPr>
            <w:tcW w:type="dxa" w:w="1987"/>
            <w:vAlign w:val="center"/>
          </w:tcPr>
          <w:p>
            <w:pPr>
              <w:spacing w:after="20"/>
            </w:pPr>
            <w:r>
              <w:rPr>
                <w:rFonts w:ascii="Arial" w:hAnsi="Arial"/>
                <w:sz w:val="15"/>
              </w:rPr>
              <w:t>Initial audio, hybrid, and prediction pipeline</w:t>
            </w:r>
          </w:p>
        </w:tc>
        <w:tc>
          <w:tcPr>
            <w:tcW w:type="dxa" w:w="1987"/>
            <w:vAlign w:val="center"/>
          </w:tcPr>
          <w:p>
            <w:pPr>
              <w:spacing w:after="20"/>
            </w:pPr>
            <w:r>
              <w:rPr>
                <w:rFonts w:ascii="Arial" w:hAnsi="Arial"/>
                <w:sz w:val="15"/>
              </w:rPr>
              <w:t>5</w:t>
            </w:r>
          </w:p>
        </w:tc>
        <w:tc>
          <w:tcPr>
            <w:tcW w:type="dxa" w:w="1987"/>
            <w:vAlign w:val="center"/>
          </w:tcPr>
          <w:p>
            <w:pPr>
              <w:spacing w:after="20"/>
            </w:pPr>
            <w:r>
              <w:rPr>
                <w:rFonts w:ascii="Arial" w:hAnsi="Arial"/>
                <w:sz w:val="15"/>
              </w:rPr>
              <w:t>07_audio_model.ipynb</w:t>
            </w:r>
          </w:p>
        </w:tc>
        <w:tc>
          <w:tcPr>
            <w:tcW w:type="dxa" w:w="1987"/>
            <w:vAlign w:val="center"/>
          </w:tcPr>
          <w:p>
            <w:pPr>
              <w:spacing w:after="20"/>
            </w:pPr>
            <w:r>
              <w:rPr>
                <w:rFonts w:ascii="Arial" w:hAnsi="Arial"/>
                <w:sz w:val="15"/>
              </w:rPr>
              <w:t>11_final_prediction_pipeline.ipynb</w:t>
            </w:r>
          </w:p>
        </w:tc>
      </w:tr>
      <w:tr>
        <w:tc>
          <w:tcPr>
            <w:tcW w:type="dxa" w:w="1987"/>
            <w:vAlign w:val="center"/>
          </w:tcPr>
          <w:p>
            <w:pPr>
              <w:spacing w:after="20"/>
            </w:pPr>
            <w:r>
              <w:rPr>
                <w:rFonts w:ascii="Arial" w:hAnsi="Arial"/>
                <w:sz w:val="15"/>
              </w:rPr>
              <w:t>12-22</w:t>
            </w:r>
          </w:p>
        </w:tc>
        <w:tc>
          <w:tcPr>
            <w:tcW w:type="dxa" w:w="1987"/>
            <w:vAlign w:val="center"/>
          </w:tcPr>
          <w:p>
            <w:pPr>
              <w:spacing w:after="20"/>
            </w:pPr>
            <w:r>
              <w:rPr>
                <w:rFonts w:ascii="Arial" w:hAnsi="Arial"/>
                <w:sz w:val="15"/>
              </w:rPr>
              <w:t>Expanded and 10-genre experimentation</w:t>
            </w:r>
          </w:p>
        </w:tc>
        <w:tc>
          <w:tcPr>
            <w:tcW w:type="dxa" w:w="1987"/>
            <w:vAlign w:val="center"/>
          </w:tcPr>
          <w:p>
            <w:pPr>
              <w:spacing w:after="20"/>
            </w:pPr>
            <w:r>
              <w:rPr>
                <w:rFonts w:ascii="Arial" w:hAnsi="Arial"/>
                <w:sz w:val="15"/>
              </w:rPr>
              <w:t>11</w:t>
            </w:r>
          </w:p>
        </w:tc>
        <w:tc>
          <w:tcPr>
            <w:tcW w:type="dxa" w:w="1987"/>
            <w:vAlign w:val="center"/>
          </w:tcPr>
          <w:p>
            <w:pPr>
              <w:spacing w:after="20"/>
            </w:pPr>
            <w:r>
              <w:rPr>
                <w:rFonts w:ascii="Arial" w:hAnsi="Arial"/>
                <w:sz w:val="15"/>
              </w:rPr>
              <w:t>12_expand_8genre_pilot_and_retrain.ipynb</w:t>
            </w:r>
          </w:p>
        </w:tc>
        <w:tc>
          <w:tcPr>
            <w:tcW w:type="dxa" w:w="1987"/>
            <w:vAlign w:val="center"/>
          </w:tcPr>
          <w:p>
            <w:pPr>
              <w:spacing w:after="20"/>
            </w:pPr>
            <w:r>
              <w:rPr>
                <w:rFonts w:ascii="Arial" w:hAnsi="Arial"/>
                <w:sz w:val="15"/>
              </w:rPr>
              <w:t>22_final_results_summary_and_comparison.ipynb</w:t>
            </w:r>
          </w:p>
        </w:tc>
      </w:tr>
      <w:tr>
        <w:tc>
          <w:tcPr>
            <w:tcW w:type="dxa" w:w="1987"/>
            <w:vAlign w:val="center"/>
          </w:tcPr>
          <w:p>
            <w:pPr>
              <w:spacing w:after="20"/>
            </w:pPr>
            <w:r>
              <w:rPr>
                <w:rFonts w:ascii="Arial" w:hAnsi="Arial"/>
                <w:sz w:val="15"/>
              </w:rPr>
              <w:t>23-38</w:t>
            </w:r>
          </w:p>
        </w:tc>
        <w:tc>
          <w:tcPr>
            <w:tcW w:type="dxa" w:w="1987"/>
            <w:vAlign w:val="center"/>
          </w:tcPr>
          <w:p>
            <w:pPr>
              <w:spacing w:after="20"/>
            </w:pPr>
            <w:r>
              <w:rPr>
                <w:rFonts w:ascii="Arial" w:hAnsi="Arial"/>
                <w:sz w:val="15"/>
              </w:rPr>
              <w:t>Candidate-150 multi-label development</w:t>
            </w:r>
          </w:p>
        </w:tc>
        <w:tc>
          <w:tcPr>
            <w:tcW w:type="dxa" w:w="1987"/>
            <w:vAlign w:val="center"/>
          </w:tcPr>
          <w:p>
            <w:pPr>
              <w:spacing w:after="20"/>
            </w:pPr>
            <w:r>
              <w:rPr>
                <w:rFonts w:ascii="Arial" w:hAnsi="Arial"/>
                <w:sz w:val="15"/>
              </w:rPr>
              <w:t>16</w:t>
            </w:r>
          </w:p>
        </w:tc>
        <w:tc>
          <w:tcPr>
            <w:tcW w:type="dxa" w:w="1987"/>
            <w:vAlign w:val="center"/>
          </w:tcPr>
          <w:p>
            <w:pPr>
              <w:spacing w:after="20"/>
            </w:pPr>
            <w:r>
              <w:rPr>
                <w:rFonts w:ascii="Arial" w:hAnsi="Arial"/>
                <w:sz w:val="15"/>
              </w:rPr>
              <w:t>23_full_genre_inventory_and_multilabel_prep.ipynb</w:t>
            </w:r>
          </w:p>
        </w:tc>
        <w:tc>
          <w:tcPr>
            <w:tcW w:type="dxa" w:w="1987"/>
            <w:vAlign w:val="center"/>
          </w:tcPr>
          <w:p>
            <w:pPr>
              <w:spacing w:after="20"/>
            </w:pPr>
            <w:r>
              <w:rPr>
                <w:rFonts w:ascii="Arial" w:hAnsi="Arial"/>
                <w:sz w:val="15"/>
              </w:rPr>
              <w:t>38_final_candidate150_consolidation_and_report_tables.ipynb</w:t>
            </w:r>
          </w:p>
        </w:tc>
      </w:tr>
      <w:tr>
        <w:tc>
          <w:tcPr>
            <w:tcW w:type="dxa" w:w="1987"/>
            <w:vAlign w:val="center"/>
          </w:tcPr>
          <w:p>
            <w:pPr>
              <w:spacing w:after="20"/>
            </w:pPr>
            <w:r>
              <w:rPr>
                <w:rFonts w:ascii="Arial" w:hAnsi="Arial"/>
                <w:sz w:val="15"/>
              </w:rPr>
              <w:t>39-46</w:t>
            </w:r>
          </w:p>
        </w:tc>
        <w:tc>
          <w:tcPr>
            <w:tcW w:type="dxa" w:w="1987"/>
            <w:vAlign w:val="center"/>
          </w:tcPr>
          <w:p>
            <w:pPr>
              <w:spacing w:after="20"/>
            </w:pPr>
            <w:r>
              <w:rPr>
                <w:rFonts w:ascii="Arial" w:hAnsi="Arial"/>
                <w:sz w:val="15"/>
              </w:rPr>
              <w:t>Full 163-genre strategy and rare-tail routing</w:t>
            </w:r>
          </w:p>
        </w:tc>
        <w:tc>
          <w:tcPr>
            <w:tcW w:type="dxa" w:w="1987"/>
            <w:vAlign w:val="center"/>
          </w:tcPr>
          <w:p>
            <w:pPr>
              <w:spacing w:after="20"/>
            </w:pPr>
            <w:r>
              <w:rPr>
                <w:rFonts w:ascii="Arial" w:hAnsi="Arial"/>
                <w:sz w:val="15"/>
              </w:rPr>
              <w:t>8</w:t>
            </w:r>
          </w:p>
        </w:tc>
        <w:tc>
          <w:tcPr>
            <w:tcW w:type="dxa" w:w="1987"/>
            <w:vAlign w:val="center"/>
          </w:tcPr>
          <w:p>
            <w:pPr>
              <w:spacing w:after="20"/>
            </w:pPr>
            <w:r>
              <w:rPr>
                <w:rFonts w:ascii="Arial" w:hAnsi="Arial"/>
                <w:sz w:val="15"/>
              </w:rPr>
              <w:t>39_full161_rare_tail_preparation_and_all_genre_strategy.ipynb</w:t>
            </w:r>
          </w:p>
        </w:tc>
        <w:tc>
          <w:tcPr>
            <w:tcW w:type="dxa" w:w="1987"/>
            <w:vAlign w:val="center"/>
          </w:tcPr>
          <w:p>
            <w:pPr>
              <w:spacing w:after="20"/>
            </w:pPr>
            <w:r>
              <w:rPr>
                <w:rFonts w:ascii="Arial" w:hAnsi="Arial"/>
                <w:sz w:val="15"/>
              </w:rPr>
              <w:t>46_final_full_project_consolidation.ipynb</w:t>
            </w:r>
          </w:p>
        </w:tc>
      </w:tr>
      <w:tr>
        <w:tc>
          <w:tcPr>
            <w:tcW w:type="dxa" w:w="1987"/>
            <w:vAlign w:val="center"/>
          </w:tcPr>
          <w:p>
            <w:pPr>
              <w:spacing w:after="20"/>
            </w:pPr>
            <w:r>
              <w:rPr>
                <w:rFonts w:ascii="Arial" w:hAnsi="Arial"/>
                <w:sz w:val="15"/>
              </w:rPr>
              <w:t>47-48</w:t>
            </w:r>
          </w:p>
        </w:tc>
        <w:tc>
          <w:tcPr>
            <w:tcW w:type="dxa" w:w="1987"/>
            <w:vAlign w:val="center"/>
          </w:tcPr>
          <w:p>
            <w:pPr>
              <w:spacing w:after="20"/>
            </w:pPr>
            <w:r>
              <w:rPr>
                <w:rFonts w:ascii="Arial" w:hAnsi="Arial"/>
                <w:sz w:val="15"/>
              </w:rPr>
              <w:t>Final inference pipeline preparation</w:t>
            </w:r>
          </w:p>
        </w:tc>
        <w:tc>
          <w:tcPr>
            <w:tcW w:type="dxa" w:w="1987"/>
            <w:vAlign w:val="center"/>
          </w:tcPr>
          <w:p>
            <w:pPr>
              <w:spacing w:after="20"/>
            </w:pPr>
            <w:r>
              <w:rPr>
                <w:rFonts w:ascii="Arial" w:hAnsi="Arial"/>
                <w:sz w:val="15"/>
              </w:rPr>
              <w:t>3</w:t>
            </w:r>
          </w:p>
        </w:tc>
        <w:tc>
          <w:tcPr>
            <w:tcW w:type="dxa" w:w="1987"/>
            <w:vAlign w:val="center"/>
          </w:tcPr>
          <w:p>
            <w:pPr>
              <w:spacing w:after="20"/>
            </w:pPr>
            <w:r>
              <w:rPr>
                <w:rFonts w:ascii="Arial" w:hAnsi="Arial"/>
                <w:sz w:val="15"/>
              </w:rPr>
              <w:t>47_final_audio_inference_pipeline.ipynb</w:t>
            </w:r>
          </w:p>
        </w:tc>
        <w:tc>
          <w:tcPr>
            <w:tcW w:type="dxa" w:w="1987"/>
            <w:vAlign w:val="center"/>
          </w:tcPr>
          <w:p>
            <w:pPr>
              <w:spacing w:after="20"/>
            </w:pPr>
            <w:r>
              <w:rPr>
                <w:rFonts w:ascii="Arial" w:hAnsi="Arial"/>
                <w:sz w:val="15"/>
              </w:rPr>
              <w:t>48_looped_audio_genre_prediction_with_confidence.ipynb</w:t>
            </w:r>
          </w:p>
        </w:tc>
      </w:tr>
      <w:tr>
        <w:tc>
          <w:tcPr>
            <w:tcW w:type="dxa" w:w="1987"/>
            <w:vAlign w:val="center"/>
          </w:tcPr>
          <w:p>
            <w:pPr>
              <w:spacing w:after="20"/>
            </w:pPr>
            <w:r>
              <w:rPr>
                <w:rFonts w:ascii="Arial" w:hAnsi="Arial"/>
                <w:sz w:val="15"/>
              </w:rPr>
              <w:t>49</w:t>
            </w:r>
          </w:p>
        </w:tc>
        <w:tc>
          <w:tcPr>
            <w:tcW w:type="dxa" w:w="1987"/>
            <w:vAlign w:val="center"/>
          </w:tcPr>
          <w:p>
            <w:pPr>
              <w:spacing w:after="20"/>
            </w:pPr>
            <w:r>
              <w:rPr>
                <w:rFonts w:ascii="Arial" w:hAnsi="Arial"/>
                <w:sz w:val="15"/>
              </w:rPr>
              <w:t>Final internal FMA test evaluation</w:t>
            </w:r>
          </w:p>
        </w:tc>
        <w:tc>
          <w:tcPr>
            <w:tcW w:type="dxa" w:w="1987"/>
            <w:vAlign w:val="center"/>
          </w:tcPr>
          <w:p>
            <w:pPr>
              <w:spacing w:after="20"/>
            </w:pPr>
            <w:r>
              <w:rPr>
                <w:rFonts w:ascii="Arial" w:hAnsi="Arial"/>
                <w:sz w:val="15"/>
              </w:rPr>
              <w:t>1</w:t>
            </w:r>
          </w:p>
        </w:tc>
        <w:tc>
          <w:tcPr>
            <w:tcW w:type="dxa" w:w="1987"/>
            <w:vAlign w:val="center"/>
          </w:tcPr>
          <w:p>
            <w:pPr>
              <w:spacing w:after="20"/>
            </w:pPr>
            <w:r>
              <w:rPr>
                <w:rFonts w:ascii="Arial" w:hAnsi="Arial"/>
                <w:sz w:val="15"/>
              </w:rPr>
              <w:t>49_final_fma_test_split_batch_evaluation.ipynb</w:t>
            </w:r>
          </w:p>
        </w:tc>
        <w:tc>
          <w:tcPr>
            <w:tcW w:type="dxa" w:w="1987"/>
            <w:vAlign w:val="center"/>
          </w:tcPr>
          <w:p>
            <w:pPr>
              <w:spacing w:after="20"/>
            </w:pPr>
            <w:r>
              <w:rPr>
                <w:rFonts w:ascii="Arial" w:hAnsi="Arial"/>
                <w:sz w:val="15"/>
              </w:rPr>
              <w:t>49_final_fma_test_split_batch_evaluation.ipynb</w:t>
            </w:r>
          </w:p>
        </w:tc>
      </w:tr>
      <w:tr>
        <w:tc>
          <w:tcPr>
            <w:tcW w:type="dxa" w:w="1987"/>
            <w:vAlign w:val="center"/>
          </w:tcPr>
          <w:p>
            <w:pPr>
              <w:spacing w:after="20"/>
            </w:pPr>
            <w:r>
              <w:rPr>
                <w:rFonts w:ascii="Arial" w:hAnsi="Arial"/>
                <w:sz w:val="15"/>
              </w:rPr>
              <w:t>50</w:t>
            </w:r>
          </w:p>
        </w:tc>
        <w:tc>
          <w:tcPr>
            <w:tcW w:type="dxa" w:w="1987"/>
            <w:vAlign w:val="center"/>
          </w:tcPr>
          <w:p>
            <w:pPr>
              <w:spacing w:after="20"/>
            </w:pPr>
            <w:r>
              <w:rPr>
                <w:rFonts w:ascii="Arial" w:hAnsi="Arial"/>
                <w:sz w:val="15"/>
              </w:rPr>
              <w:t>External song batch evaluation</w:t>
            </w:r>
          </w:p>
        </w:tc>
        <w:tc>
          <w:tcPr>
            <w:tcW w:type="dxa" w:w="1987"/>
            <w:vAlign w:val="center"/>
          </w:tcPr>
          <w:p>
            <w:pPr>
              <w:spacing w:after="20"/>
            </w:pPr>
            <w:r>
              <w:rPr>
                <w:rFonts w:ascii="Arial" w:hAnsi="Arial"/>
                <w:sz w:val="15"/>
              </w:rPr>
              <w:t>1</w:t>
            </w:r>
          </w:p>
        </w:tc>
        <w:tc>
          <w:tcPr>
            <w:tcW w:type="dxa" w:w="1987"/>
            <w:vAlign w:val="center"/>
          </w:tcPr>
          <w:p>
            <w:pPr>
              <w:spacing w:after="20"/>
            </w:pPr>
            <w:r>
              <w:rPr>
                <w:rFonts w:ascii="Arial" w:hAnsi="Arial"/>
                <w:sz w:val="15"/>
              </w:rPr>
              <w:t>50_external_song_batch_windowed_inference.ipynb</w:t>
            </w:r>
          </w:p>
        </w:tc>
        <w:tc>
          <w:tcPr>
            <w:tcW w:type="dxa" w:w="1987"/>
            <w:vAlign w:val="center"/>
          </w:tcPr>
          <w:p>
            <w:pPr>
              <w:spacing w:after="20"/>
            </w:pPr>
            <w:r>
              <w:rPr>
                <w:rFonts w:ascii="Arial" w:hAnsi="Arial"/>
                <w:sz w:val="15"/>
              </w:rPr>
              <w:t>50_external_song_batch_windowed_inference.ipynb</w:t>
            </w:r>
          </w:p>
        </w:tc>
      </w:tr>
    </w:tbl>
    <w:p>
      <w:r>
        <w:rPr>
          <w:rFonts w:ascii="Arial" w:hAnsi="Arial"/>
          <w:b w:val="0"/>
          <w:i w:val="0"/>
          <w:sz w:val="21"/>
        </w:rPr>
        <w:t>The notebook sequence is progressive. Early notebooks test data access and structured baselines. Later notebooks expand the label set, add audio CNN modelling, test hybrid fusion, and finish with internal and external evaluation. This sequence is useful because it shows the decisions that led to the final ranked prediction system.</w:t>
      </w:r>
    </w:p>
    <w:p>
      <w:pPr>
        <w:pStyle w:val="Heading1"/>
      </w:pPr>
      <w:r>
        <w:rPr>
          <w:rFonts w:ascii="Arial" w:hAnsi="Arial"/>
          <w:color w:val="0B3D3A"/>
        </w:rPr>
        <w:t>Core Modelling Code</w:t>
      </w:r>
    </w:p>
    <w:p>
      <w:pPr>
        <w:pStyle w:val="Heading2"/>
      </w:pPr>
      <w:r>
        <w:rPr>
          <w:rFonts w:ascii="Arial" w:hAnsi="Arial"/>
          <w:color w:val="0B3D3A"/>
        </w:rPr>
        <w:t>Structured modelling branch</w:t>
      </w:r>
    </w:p>
    <w:p>
      <w:r>
        <w:rPr>
          <w:rFonts w:ascii="Arial" w:hAnsi="Arial"/>
          <w:b w:val="0"/>
          <w:i w:val="0"/>
          <w:sz w:val="21"/>
        </w:rPr>
        <w:t>Structured notebooks use FMA metadata and engineered audio features from features.csv. These experiments provide interpretable baselines and allow the project to compare tabular learning against audio-content learning.</w:t>
      </w:r>
    </w:p>
    <w:p>
      <w:pPr>
        <w:pStyle w:val="Heading2"/>
      </w:pPr>
      <w:r>
        <w:rPr>
          <w:rFonts w:ascii="Arial" w:hAnsi="Arial"/>
          <w:color w:val="0B3D3A"/>
        </w:rPr>
        <w:t>Audio CNN branch</w:t>
      </w:r>
    </w:p>
    <w:p>
      <w:r>
        <w:rPr>
          <w:rFonts w:ascii="Arial" w:hAnsi="Arial"/>
          <w:b w:val="0"/>
          <w:i w:val="0"/>
          <w:sz w:val="21"/>
        </w:rPr>
        <w:t>Audio notebooks convert raw MP3 clips into Mel-spectrogram inputs. The CNN branch became the strongest source of genre signal because it learns from sound patterns such as rhythm, timbre, and production style.</w:t>
      </w:r>
    </w:p>
    <w:p>
      <w:pPr>
        <w:pStyle w:val="Heading2"/>
      </w:pPr>
      <w:r>
        <w:rPr>
          <w:rFonts w:ascii="Arial" w:hAnsi="Arial"/>
          <w:color w:val="0B3D3A"/>
        </w:rPr>
        <w:t>Hybrid fusion branch</w:t>
      </w:r>
    </w:p>
    <w:p>
      <w:r>
        <w:rPr>
          <w:rFonts w:ascii="Arial" w:hAnsi="Arial"/>
          <w:b w:val="0"/>
          <w:i w:val="0"/>
          <w:sz w:val="21"/>
        </w:rPr>
        <w:t>Hybrid notebooks combine structured and audio prediction scores. The final benchmark direction used a higher audio weight because the audio branch carried stronger predictive signal in the final experiments.</w:t>
      </w:r>
    </w:p>
    <w:p>
      <w:pPr>
        <w:pStyle w:val="Heading2"/>
      </w:pPr>
      <w:r>
        <w:rPr>
          <w:rFonts w:ascii="Arial" w:hAnsi="Arial"/>
          <w:color w:val="0B3D3A"/>
        </w:rPr>
        <w:t>Rare-tail and full taxonomy handling</w:t>
      </w:r>
    </w:p>
    <w:p>
      <w:r>
        <w:rPr>
          <w:rFonts w:ascii="Arial" w:hAnsi="Arial"/>
          <w:b w:val="0"/>
          <w:i w:val="0"/>
          <w:sz w:val="21"/>
        </w:rPr>
        <w:t>The full taxonomy uses 163 genre records: 150 candidate labels predicted directly, 10 rare-tail labels treated through fallback logic, and 3 inventory-only labels retained for taxonomy completeness.</w:t>
      </w:r>
    </w:p>
    <w:p>
      <w:pPr>
        <w:pStyle w:val="Heading1"/>
      </w:pPr>
      <w:r>
        <w:rPr>
          <w:rFonts w:ascii="Arial" w:hAnsi="Arial"/>
          <w:color w:val="0B3D3A"/>
        </w:rPr>
        <w:t>Final Evaluation Notebooks</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vAlign w:val="center"/>
            <w:shd w:fill="0B3D3A"/>
          </w:tcPr>
          <w:p>
            <w:pPr>
              <w:spacing w:after="20"/>
            </w:pPr>
            <w:r>
              <w:rPr>
                <w:rFonts w:ascii="Arial" w:hAnsi="Arial"/>
                <w:b/>
                <w:color w:val="FFFFFF"/>
                <w:sz w:val="16"/>
              </w:rPr>
              <w:t>Notebook</w:t>
            </w:r>
          </w:p>
        </w:tc>
        <w:tc>
          <w:tcPr>
            <w:tcW w:type="dxa" w:w="2484"/>
            <w:vAlign w:val="center"/>
            <w:shd w:fill="0B3D3A"/>
          </w:tcPr>
          <w:p>
            <w:pPr>
              <w:spacing w:after="20"/>
            </w:pPr>
            <w:r>
              <w:rPr>
                <w:rFonts w:ascii="Arial" w:hAnsi="Arial"/>
                <w:b/>
                <w:color w:val="FFFFFF"/>
                <w:sz w:val="16"/>
              </w:rPr>
              <w:t>Purpose</w:t>
            </w:r>
          </w:p>
        </w:tc>
        <w:tc>
          <w:tcPr>
            <w:tcW w:type="dxa" w:w="2484"/>
            <w:vAlign w:val="center"/>
            <w:shd w:fill="0B3D3A"/>
          </w:tcPr>
          <w:p>
            <w:pPr>
              <w:spacing w:after="20"/>
            </w:pPr>
            <w:r>
              <w:rPr>
                <w:rFonts w:ascii="Arial" w:hAnsi="Arial"/>
                <w:b/>
                <w:color w:val="FFFFFF"/>
                <w:sz w:val="16"/>
              </w:rPr>
              <w:t>Key outputs</w:t>
            </w:r>
          </w:p>
        </w:tc>
        <w:tc>
          <w:tcPr>
            <w:tcW w:type="dxa" w:w="2484"/>
            <w:vAlign w:val="center"/>
            <w:shd w:fill="0B3D3A"/>
          </w:tcPr>
          <w:p>
            <w:pPr>
              <w:spacing w:after="20"/>
            </w:pPr>
            <w:r>
              <w:rPr>
                <w:rFonts w:ascii="Arial" w:hAnsi="Arial"/>
                <w:b/>
                <w:color w:val="FFFFFF"/>
                <w:sz w:val="16"/>
              </w:rPr>
              <w:t>Main metrics</w:t>
            </w:r>
          </w:p>
        </w:tc>
      </w:tr>
      <w:tr>
        <w:tc>
          <w:tcPr>
            <w:tcW w:type="dxa" w:w="2484"/>
            <w:vAlign w:val="center"/>
          </w:tcPr>
          <w:p>
            <w:pPr>
              <w:spacing w:after="20"/>
            </w:pPr>
            <w:r>
              <w:rPr>
                <w:rFonts w:ascii="Arial" w:hAnsi="Arial"/>
                <w:sz w:val="16"/>
              </w:rPr>
              <w:t>49_final_fma_test_split_batch_evaluation.ipynb</w:t>
            </w:r>
          </w:p>
        </w:tc>
        <w:tc>
          <w:tcPr>
            <w:tcW w:type="dxa" w:w="2484"/>
            <w:vAlign w:val="center"/>
          </w:tcPr>
          <w:p>
            <w:pPr>
              <w:spacing w:after="20"/>
            </w:pPr>
            <w:r>
              <w:rPr>
                <w:rFonts w:ascii="Arial" w:hAnsi="Arial"/>
                <w:sz w:val="16"/>
              </w:rPr>
              <w:t>Formal internal FMA test-split evaluation using selected test records.</w:t>
            </w:r>
          </w:p>
        </w:tc>
        <w:tc>
          <w:tcPr>
            <w:tcW w:type="dxa" w:w="2484"/>
            <w:vAlign w:val="center"/>
          </w:tcPr>
          <w:p>
            <w:pPr>
              <w:spacing w:after="20"/>
            </w:pPr>
            <w:r>
              <w:rPr>
                <w:rFonts w:ascii="Arial" w:hAnsi="Arial"/>
                <w:sz w:val="16"/>
              </w:rPr>
              <w:t>fma_test_summary.json, fma_test_topk_predictions.csv, fma_test_metrics_summary.csv</w:t>
            </w:r>
          </w:p>
        </w:tc>
        <w:tc>
          <w:tcPr>
            <w:tcW w:type="dxa" w:w="2484"/>
            <w:vAlign w:val="center"/>
          </w:tcPr>
          <w:p>
            <w:pPr>
              <w:spacing w:after="20"/>
            </w:pPr>
            <w:r>
              <w:rPr>
                <w:rFonts w:ascii="Arial" w:hAnsi="Arial"/>
                <w:sz w:val="16"/>
              </w:rPr>
              <w:t>100 successful tracks; Top-1 72.0%; Top-3 98.0%; Top-5 99.0%; Micro F1 0.450; Macro F1 0.052</w:t>
            </w:r>
          </w:p>
        </w:tc>
      </w:tr>
      <w:tr>
        <w:tc>
          <w:tcPr>
            <w:tcW w:type="dxa" w:w="2484"/>
            <w:vAlign w:val="center"/>
          </w:tcPr>
          <w:p>
            <w:pPr>
              <w:spacing w:after="20"/>
            </w:pPr>
            <w:r>
              <w:rPr>
                <w:rFonts w:ascii="Arial" w:hAnsi="Arial"/>
                <w:sz w:val="16"/>
              </w:rPr>
              <w:t>50_external_song_batch_windowed_inference.ipynb</w:t>
            </w:r>
          </w:p>
        </w:tc>
        <w:tc>
          <w:tcPr>
            <w:tcW w:type="dxa" w:w="2484"/>
            <w:vAlign w:val="center"/>
          </w:tcPr>
          <w:p>
            <w:pPr>
              <w:spacing w:after="20"/>
            </w:pPr>
            <w:r>
              <w:rPr>
                <w:rFonts w:ascii="Arial" w:hAnsi="Arial"/>
                <w:sz w:val="16"/>
              </w:rPr>
              <w:t>External open-licence song batch evaluation using full-song window sampling.</w:t>
            </w:r>
          </w:p>
        </w:tc>
        <w:tc>
          <w:tcPr>
            <w:tcW w:type="dxa" w:w="2484"/>
            <w:vAlign w:val="center"/>
          </w:tcPr>
          <w:p>
            <w:pPr>
              <w:spacing w:after="20"/>
            </w:pPr>
            <w:r>
              <w:rPr>
                <w:rFonts w:ascii="Arial" w:hAnsi="Arial"/>
                <w:sz w:val="16"/>
              </w:rPr>
              <w:t>notebook50_external_batch_summary.json, song summary, manifest evaluation, window predictions</w:t>
            </w:r>
          </w:p>
        </w:tc>
        <w:tc>
          <w:tcPr>
            <w:tcW w:type="dxa" w:w="2484"/>
            <w:vAlign w:val="center"/>
          </w:tcPr>
          <w:p>
            <w:pPr>
              <w:spacing w:after="20"/>
            </w:pPr>
            <w:r>
              <w:rPr>
                <w:rFonts w:ascii="Arial" w:hAnsi="Arial"/>
                <w:sz w:val="16"/>
              </w:rPr>
              <w:t>60 songs; 8 windows maximum; Top-1 21.7%; Top-3 66.7%; Top-5 83.3%; low-confidence rate 48.3%</w:t>
            </w:r>
          </w:p>
        </w:tc>
      </w:tr>
    </w:tbl>
    <w:p>
      <w:r>
        <w:rPr>
          <w:rFonts w:ascii="Arial" w:hAnsi="Arial"/>
          <w:b w:val="0"/>
          <w:i w:val="0"/>
          <w:sz w:val="21"/>
        </w:rPr>
        <w:t>These two notebooks should be treated as the final evidence notebooks. Notebook 49 shows performance within the FMA test split. Notebook 50 shows the harder external-audio case. The difference between them is important because it defines the model as a ranked review tool rather than an automatic final genre tagger.</w:t>
      </w:r>
    </w:p>
    <w:p>
      <w:pPr>
        <w:pStyle w:val="Heading1"/>
      </w:pPr>
      <w:r>
        <w:rPr>
          <w:rFonts w:ascii="Arial" w:hAnsi="Arial"/>
          <w:color w:val="0B3D3A"/>
        </w:rPr>
        <w:t>Streamlit Demo Code</w:t>
      </w:r>
    </w:p>
    <w:p>
      <w:r>
        <w:rPr>
          <w:rFonts w:ascii="Arial" w:hAnsi="Arial"/>
          <w:b w:val="0"/>
          <w:i w:val="0"/>
          <w:sz w:val="21"/>
        </w:rPr>
        <w:t>The deployment demonstration is contained in streamlit_app.py. It loads the trained model and metadata, accepts an uploaded audio file, samples windows from the song, converts each window into a Mel-spectrogram input, and returns ranked genre predictions.</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0B3D3A"/>
          </w:tcPr>
          <w:p>
            <w:pPr>
              <w:spacing w:after="20"/>
            </w:pPr>
            <w:r>
              <w:rPr>
                <w:rFonts w:ascii="Arial" w:hAnsi="Arial"/>
                <w:b/>
                <w:color w:val="FFFFFF"/>
                <w:sz w:val="16"/>
              </w:rPr>
              <w:t>Function or component</w:t>
            </w:r>
          </w:p>
        </w:tc>
        <w:tc>
          <w:tcPr>
            <w:tcW w:type="dxa" w:w="3312"/>
            <w:vAlign w:val="center"/>
            <w:shd w:fill="0B3D3A"/>
          </w:tcPr>
          <w:p>
            <w:pPr>
              <w:spacing w:after="20"/>
            </w:pPr>
            <w:r>
              <w:rPr>
                <w:rFonts w:ascii="Arial" w:hAnsi="Arial"/>
                <w:b/>
                <w:color w:val="FFFFFF"/>
                <w:sz w:val="16"/>
              </w:rPr>
              <w:t>Purpose</w:t>
            </w:r>
          </w:p>
        </w:tc>
        <w:tc>
          <w:tcPr>
            <w:tcW w:type="dxa" w:w="3312"/>
            <w:vAlign w:val="center"/>
            <w:shd w:fill="0B3D3A"/>
          </w:tcPr>
          <w:p>
            <w:pPr>
              <w:spacing w:after="20"/>
            </w:pPr>
            <w:r>
              <w:rPr>
                <w:rFonts w:ascii="Arial" w:hAnsi="Arial"/>
                <w:b/>
                <w:color w:val="FFFFFF"/>
                <w:sz w:val="16"/>
              </w:rPr>
              <w:t>Reviewer interpretation</w:t>
            </w:r>
          </w:p>
        </w:tc>
      </w:tr>
      <w:tr>
        <w:tc>
          <w:tcPr>
            <w:tcW w:type="dxa" w:w="3312"/>
            <w:vAlign w:val="center"/>
          </w:tcPr>
          <w:p>
            <w:pPr>
              <w:spacing w:after="20"/>
            </w:pPr>
            <w:r>
              <w:rPr>
                <w:rFonts w:ascii="Arial" w:hAnsi="Arial"/>
                <w:sz w:val="16"/>
              </w:rPr>
              <w:t>load_model(), load_metadata()</w:t>
            </w:r>
          </w:p>
        </w:tc>
        <w:tc>
          <w:tcPr>
            <w:tcW w:type="dxa" w:w="3312"/>
            <w:vAlign w:val="center"/>
          </w:tcPr>
          <w:p>
            <w:pPr>
              <w:spacing w:after="20"/>
            </w:pPr>
            <w:r>
              <w:rPr>
                <w:rFonts w:ascii="Arial" w:hAnsi="Arial"/>
                <w:sz w:val="16"/>
              </w:rPr>
              <w:t>Load saved model and genre metadata needed by the app.</w:t>
            </w:r>
          </w:p>
        </w:tc>
        <w:tc>
          <w:tcPr>
            <w:tcW w:type="dxa" w:w="3312"/>
            <w:vAlign w:val="center"/>
          </w:tcPr>
          <w:p>
            <w:pPr>
              <w:spacing w:after="20"/>
            </w:pPr>
            <w:r>
              <w:rPr>
                <w:rFonts w:ascii="Arial" w:hAnsi="Arial"/>
                <w:sz w:val="16"/>
              </w:rPr>
              <w:t>Separates deployment loading from prediction logic.</w:t>
            </w:r>
          </w:p>
        </w:tc>
      </w:tr>
      <w:tr>
        <w:tc>
          <w:tcPr>
            <w:tcW w:type="dxa" w:w="3312"/>
            <w:vAlign w:val="center"/>
          </w:tcPr>
          <w:p>
            <w:pPr>
              <w:spacing w:after="20"/>
            </w:pPr>
            <w:r>
              <w:rPr>
                <w:rFonts w:ascii="Arial" w:hAnsi="Arial"/>
                <w:sz w:val="16"/>
              </w:rPr>
              <w:t>window_starts(), extract_window()</w:t>
            </w:r>
          </w:p>
        </w:tc>
        <w:tc>
          <w:tcPr>
            <w:tcW w:type="dxa" w:w="3312"/>
            <w:vAlign w:val="center"/>
          </w:tcPr>
          <w:p>
            <w:pPr>
              <w:spacing w:after="20"/>
            </w:pPr>
            <w:r>
              <w:rPr>
                <w:rFonts w:ascii="Arial" w:hAnsi="Arial"/>
                <w:sz w:val="16"/>
              </w:rPr>
              <w:t>Select and extract 15-second windows from uploaded audio.</w:t>
            </w:r>
          </w:p>
        </w:tc>
        <w:tc>
          <w:tcPr>
            <w:tcW w:type="dxa" w:w="3312"/>
            <w:vAlign w:val="center"/>
          </w:tcPr>
          <w:p>
            <w:pPr>
              <w:spacing w:after="20"/>
            </w:pPr>
            <w:r>
              <w:rPr>
                <w:rFonts w:ascii="Arial" w:hAnsi="Arial"/>
                <w:sz w:val="16"/>
              </w:rPr>
              <w:t>Allows full songs to be represented by multiple segments.</w:t>
            </w:r>
          </w:p>
        </w:tc>
      </w:tr>
      <w:tr>
        <w:tc>
          <w:tcPr>
            <w:tcW w:type="dxa" w:w="3312"/>
            <w:vAlign w:val="center"/>
          </w:tcPr>
          <w:p>
            <w:pPr>
              <w:spacing w:after="20"/>
            </w:pPr>
            <w:r>
              <w:rPr>
                <w:rFonts w:ascii="Arial" w:hAnsi="Arial"/>
                <w:sz w:val="16"/>
              </w:rPr>
              <w:t>build_mel_input()</w:t>
            </w:r>
          </w:p>
        </w:tc>
        <w:tc>
          <w:tcPr>
            <w:tcW w:type="dxa" w:w="3312"/>
            <w:vAlign w:val="center"/>
          </w:tcPr>
          <w:p>
            <w:pPr>
              <w:spacing w:after="20"/>
            </w:pPr>
            <w:r>
              <w:rPr>
                <w:rFonts w:ascii="Arial" w:hAnsi="Arial"/>
                <w:sz w:val="16"/>
              </w:rPr>
              <w:t>Convert audio samples into model-ready Mel-spectrogram tensors.</w:t>
            </w:r>
          </w:p>
        </w:tc>
        <w:tc>
          <w:tcPr>
            <w:tcW w:type="dxa" w:w="3312"/>
            <w:vAlign w:val="center"/>
          </w:tcPr>
          <w:p>
            <w:pPr>
              <w:spacing w:after="20"/>
            </w:pPr>
            <w:r>
              <w:rPr>
                <w:rFonts w:ascii="Arial" w:hAnsi="Arial"/>
                <w:sz w:val="16"/>
              </w:rPr>
              <w:t>Matches the audio representation used by the CNN branch.</w:t>
            </w:r>
          </w:p>
        </w:tc>
      </w:tr>
      <w:tr>
        <w:tc>
          <w:tcPr>
            <w:tcW w:type="dxa" w:w="3312"/>
            <w:vAlign w:val="center"/>
          </w:tcPr>
          <w:p>
            <w:pPr>
              <w:spacing w:after="20"/>
            </w:pPr>
            <w:r>
              <w:rPr>
                <w:rFonts w:ascii="Arial" w:hAnsi="Arial"/>
                <w:sz w:val="16"/>
              </w:rPr>
              <w:t>predict_song()</w:t>
            </w:r>
          </w:p>
        </w:tc>
        <w:tc>
          <w:tcPr>
            <w:tcW w:type="dxa" w:w="3312"/>
            <w:vAlign w:val="center"/>
          </w:tcPr>
          <w:p>
            <w:pPr>
              <w:spacing w:after="20"/>
            </w:pPr>
            <w:r>
              <w:rPr>
                <w:rFonts w:ascii="Arial" w:hAnsi="Arial"/>
                <w:sz w:val="16"/>
              </w:rPr>
              <w:t>Aggregate window predictions and produce Top-1, Top-3, Top-5, scores, confidence, and window votes.</w:t>
            </w:r>
          </w:p>
        </w:tc>
        <w:tc>
          <w:tcPr>
            <w:tcW w:type="dxa" w:w="3312"/>
            <w:vAlign w:val="center"/>
          </w:tcPr>
          <w:p>
            <w:pPr>
              <w:spacing w:after="20"/>
            </w:pPr>
            <w:r>
              <w:rPr>
                <w:rFonts w:ascii="Arial" w:hAnsi="Arial"/>
                <w:sz w:val="16"/>
              </w:rPr>
              <w:t>This is the main inference function used by the demo.</w:t>
            </w:r>
          </w:p>
        </w:tc>
      </w:tr>
      <w:tr>
        <w:tc>
          <w:tcPr>
            <w:tcW w:type="dxa" w:w="3312"/>
            <w:vAlign w:val="center"/>
          </w:tcPr>
          <w:p>
            <w:pPr>
              <w:spacing w:after="20"/>
            </w:pPr>
            <w:r>
              <w:rPr>
                <w:rFonts w:ascii="Arial" w:hAnsi="Arial"/>
                <w:sz w:val="16"/>
              </w:rPr>
              <w:t>confidence_label()</w:t>
            </w:r>
          </w:p>
        </w:tc>
        <w:tc>
          <w:tcPr>
            <w:tcW w:type="dxa" w:w="3312"/>
            <w:vAlign w:val="center"/>
          </w:tcPr>
          <w:p>
            <w:pPr>
              <w:spacing w:after="20"/>
            </w:pPr>
            <w:r>
              <w:rPr>
                <w:rFonts w:ascii="Arial" w:hAnsi="Arial"/>
                <w:sz w:val="16"/>
              </w:rPr>
              <w:t>Translate score ranges into readable confidence labels.</w:t>
            </w:r>
          </w:p>
        </w:tc>
        <w:tc>
          <w:tcPr>
            <w:tcW w:type="dxa" w:w="3312"/>
            <w:vAlign w:val="center"/>
          </w:tcPr>
          <w:p>
            <w:pPr>
              <w:spacing w:after="20"/>
            </w:pPr>
            <w:r>
              <w:rPr>
                <w:rFonts w:ascii="Arial" w:hAnsi="Arial"/>
                <w:sz w:val="16"/>
              </w:rPr>
              <w:t>Helps non-technical reviewers interpret uncertainty.</w:t>
            </w:r>
          </w:p>
        </w:tc>
      </w:tr>
      <w:tr>
        <w:tc>
          <w:tcPr>
            <w:tcW w:type="dxa" w:w="3312"/>
            <w:vAlign w:val="center"/>
          </w:tcPr>
          <w:p>
            <w:pPr>
              <w:spacing w:after="20"/>
            </w:pPr>
            <w:r>
              <w:rPr>
                <w:rFonts w:ascii="Arial" w:hAnsi="Arial"/>
                <w:sz w:val="16"/>
              </w:rPr>
              <w:t>show_project_results(), main()</w:t>
            </w:r>
          </w:p>
        </w:tc>
        <w:tc>
          <w:tcPr>
            <w:tcW w:type="dxa" w:w="3312"/>
            <w:vAlign w:val="center"/>
          </w:tcPr>
          <w:p>
            <w:pPr>
              <w:spacing w:after="20"/>
            </w:pPr>
            <w:r>
              <w:rPr>
                <w:rFonts w:ascii="Arial" w:hAnsi="Arial"/>
                <w:sz w:val="16"/>
              </w:rPr>
              <w:t>Render the Streamlit interface, results area, and explanatory text.</w:t>
            </w:r>
          </w:p>
        </w:tc>
        <w:tc>
          <w:tcPr>
            <w:tcW w:type="dxa" w:w="3312"/>
            <w:vAlign w:val="center"/>
          </w:tcPr>
          <w:p>
            <w:pPr>
              <w:spacing w:after="20"/>
            </w:pPr>
            <w:r>
              <w:rPr>
                <w:rFonts w:ascii="Arial" w:hAnsi="Arial"/>
                <w:sz w:val="16"/>
              </w:rPr>
              <w:t>Connects the technical model to a presentation-ready demo.</w:t>
            </w:r>
          </w:p>
        </w:tc>
      </w:tr>
    </w:tbl>
    <w:p>
      <w:pPr>
        <w:pStyle w:val="Heading1"/>
      </w:pPr>
      <w:r>
        <w:rPr>
          <w:rFonts w:ascii="Arial" w:hAnsi="Arial"/>
          <w:color w:val="0B3D3A"/>
        </w:rPr>
        <w:t>Important Output Fields and Metrics</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0B3D3A"/>
          </w:tcPr>
          <w:p>
            <w:pPr>
              <w:spacing w:after="20"/>
            </w:pPr>
            <w:r>
              <w:rPr>
                <w:rFonts w:ascii="Arial" w:hAnsi="Arial"/>
                <w:b/>
                <w:color w:val="FFFFFF"/>
                <w:sz w:val="16"/>
              </w:rPr>
              <w:t>Field or metric</w:t>
            </w:r>
          </w:p>
        </w:tc>
        <w:tc>
          <w:tcPr>
            <w:tcW w:type="dxa" w:w="3312"/>
            <w:vAlign w:val="center"/>
            <w:shd w:fill="0B3D3A"/>
          </w:tcPr>
          <w:p>
            <w:pPr>
              <w:spacing w:after="20"/>
            </w:pPr>
            <w:r>
              <w:rPr>
                <w:rFonts w:ascii="Arial" w:hAnsi="Arial"/>
                <w:b/>
                <w:color w:val="FFFFFF"/>
                <w:sz w:val="16"/>
              </w:rPr>
              <w:t>Meaning</w:t>
            </w:r>
          </w:p>
        </w:tc>
        <w:tc>
          <w:tcPr>
            <w:tcW w:type="dxa" w:w="3312"/>
            <w:vAlign w:val="center"/>
            <w:shd w:fill="0B3D3A"/>
          </w:tcPr>
          <w:p>
            <w:pPr>
              <w:spacing w:after="20"/>
            </w:pPr>
            <w:r>
              <w:rPr>
                <w:rFonts w:ascii="Arial" w:hAnsi="Arial"/>
                <w:b/>
                <w:color w:val="FFFFFF"/>
                <w:sz w:val="16"/>
              </w:rPr>
              <w:t>Where used</w:t>
            </w:r>
          </w:p>
        </w:tc>
      </w:tr>
      <w:tr>
        <w:tc>
          <w:tcPr>
            <w:tcW w:type="dxa" w:w="3312"/>
            <w:vAlign w:val="center"/>
          </w:tcPr>
          <w:p>
            <w:pPr>
              <w:spacing w:after="20"/>
            </w:pPr>
            <w:r>
              <w:rPr>
                <w:rFonts w:ascii="Arial" w:hAnsi="Arial"/>
                <w:sz w:val="16"/>
              </w:rPr>
              <w:t>Top-1</w:t>
            </w:r>
          </w:p>
        </w:tc>
        <w:tc>
          <w:tcPr>
            <w:tcW w:type="dxa" w:w="3312"/>
            <w:vAlign w:val="center"/>
          </w:tcPr>
          <w:p>
            <w:pPr>
              <w:spacing w:after="20"/>
            </w:pPr>
            <w:r>
              <w:rPr>
                <w:rFonts w:ascii="Arial" w:hAnsi="Arial"/>
                <w:sz w:val="16"/>
              </w:rPr>
              <w:t>The highest-ranked predicted genre.</w:t>
            </w:r>
          </w:p>
        </w:tc>
        <w:tc>
          <w:tcPr>
            <w:tcW w:type="dxa" w:w="3312"/>
            <w:vAlign w:val="center"/>
          </w:tcPr>
          <w:p>
            <w:pPr>
              <w:spacing w:after="20"/>
            </w:pPr>
            <w:r>
              <w:rPr>
                <w:rFonts w:ascii="Arial" w:hAnsi="Arial"/>
                <w:sz w:val="16"/>
              </w:rPr>
              <w:t>Demo, Notebook 49, Notebook 50</w:t>
            </w:r>
          </w:p>
        </w:tc>
      </w:tr>
      <w:tr>
        <w:tc>
          <w:tcPr>
            <w:tcW w:type="dxa" w:w="3312"/>
            <w:vAlign w:val="center"/>
          </w:tcPr>
          <w:p>
            <w:pPr>
              <w:spacing w:after="20"/>
            </w:pPr>
            <w:r>
              <w:rPr>
                <w:rFonts w:ascii="Arial" w:hAnsi="Arial"/>
                <w:sz w:val="16"/>
              </w:rPr>
              <w:t>Top-3 / Top-5</w:t>
            </w:r>
          </w:p>
        </w:tc>
        <w:tc>
          <w:tcPr>
            <w:tcW w:type="dxa" w:w="3312"/>
            <w:vAlign w:val="center"/>
          </w:tcPr>
          <w:p>
            <w:pPr>
              <w:spacing w:after="20"/>
            </w:pPr>
            <w:r>
              <w:rPr>
                <w:rFonts w:ascii="Arial" w:hAnsi="Arial"/>
                <w:sz w:val="16"/>
              </w:rPr>
              <w:t>Whether the accepted or expected genre appears within the first three or five ranked suggestions.</w:t>
            </w:r>
          </w:p>
        </w:tc>
        <w:tc>
          <w:tcPr>
            <w:tcW w:type="dxa" w:w="3312"/>
            <w:vAlign w:val="center"/>
          </w:tcPr>
          <w:p>
            <w:pPr>
              <w:spacing w:after="20"/>
            </w:pPr>
            <w:r>
              <w:rPr>
                <w:rFonts w:ascii="Arial" w:hAnsi="Arial"/>
                <w:sz w:val="16"/>
              </w:rPr>
              <w:t>Main evaluation framing</w:t>
            </w:r>
          </w:p>
        </w:tc>
      </w:tr>
      <w:tr>
        <w:tc>
          <w:tcPr>
            <w:tcW w:type="dxa" w:w="3312"/>
            <w:vAlign w:val="center"/>
          </w:tcPr>
          <w:p>
            <w:pPr>
              <w:spacing w:after="20"/>
            </w:pPr>
            <w:r>
              <w:rPr>
                <w:rFonts w:ascii="Arial" w:hAnsi="Arial"/>
                <w:sz w:val="16"/>
              </w:rPr>
              <w:t>main_score</w:t>
            </w:r>
          </w:p>
        </w:tc>
        <w:tc>
          <w:tcPr>
            <w:tcW w:type="dxa" w:w="3312"/>
            <w:vAlign w:val="center"/>
          </w:tcPr>
          <w:p>
            <w:pPr>
              <w:spacing w:after="20"/>
            </w:pPr>
            <w:r>
              <w:rPr>
                <w:rFonts w:ascii="Arial" w:hAnsi="Arial"/>
                <w:sz w:val="16"/>
              </w:rPr>
              <w:t>Model score for the main predicted genre.</w:t>
            </w:r>
          </w:p>
        </w:tc>
        <w:tc>
          <w:tcPr>
            <w:tcW w:type="dxa" w:w="3312"/>
            <w:vAlign w:val="center"/>
          </w:tcPr>
          <w:p>
            <w:pPr>
              <w:spacing w:after="20"/>
            </w:pPr>
            <w:r>
              <w:rPr>
                <w:rFonts w:ascii="Arial" w:hAnsi="Arial"/>
                <w:sz w:val="16"/>
              </w:rPr>
              <w:t>External song summary and demo output</w:t>
            </w:r>
          </w:p>
        </w:tc>
      </w:tr>
      <w:tr>
        <w:tc>
          <w:tcPr>
            <w:tcW w:type="dxa" w:w="3312"/>
            <w:vAlign w:val="center"/>
          </w:tcPr>
          <w:p>
            <w:pPr>
              <w:spacing w:after="20"/>
            </w:pPr>
            <w:r>
              <w:rPr>
                <w:rFonts w:ascii="Arial" w:hAnsi="Arial"/>
                <w:sz w:val="16"/>
              </w:rPr>
              <w:t>confidence label</w:t>
            </w:r>
          </w:p>
        </w:tc>
        <w:tc>
          <w:tcPr>
            <w:tcW w:type="dxa" w:w="3312"/>
            <w:vAlign w:val="center"/>
          </w:tcPr>
          <w:p>
            <w:pPr>
              <w:spacing w:after="20"/>
            </w:pPr>
            <w:r>
              <w:rPr>
                <w:rFonts w:ascii="Arial" w:hAnsi="Arial"/>
                <w:sz w:val="16"/>
              </w:rPr>
              <w:t>Readable confidence category based on the main score.</w:t>
            </w:r>
          </w:p>
        </w:tc>
        <w:tc>
          <w:tcPr>
            <w:tcW w:type="dxa" w:w="3312"/>
            <w:vAlign w:val="center"/>
          </w:tcPr>
          <w:p>
            <w:pPr>
              <w:spacing w:after="20"/>
            </w:pPr>
            <w:r>
              <w:rPr>
                <w:rFonts w:ascii="Arial" w:hAnsi="Arial"/>
                <w:sz w:val="16"/>
              </w:rPr>
              <w:t>Streamlit and Notebook 50 output</w:t>
            </w:r>
          </w:p>
        </w:tc>
      </w:tr>
      <w:tr>
        <w:tc>
          <w:tcPr>
            <w:tcW w:type="dxa" w:w="3312"/>
            <w:vAlign w:val="center"/>
          </w:tcPr>
          <w:p>
            <w:pPr>
              <w:spacing w:after="20"/>
            </w:pPr>
            <w:r>
              <w:rPr>
                <w:rFonts w:ascii="Arial" w:hAnsi="Arial"/>
                <w:sz w:val="16"/>
              </w:rPr>
              <w:t>window votes</w:t>
            </w:r>
          </w:p>
        </w:tc>
        <w:tc>
          <w:tcPr>
            <w:tcW w:type="dxa" w:w="3312"/>
            <w:vAlign w:val="center"/>
          </w:tcPr>
          <w:p>
            <w:pPr>
              <w:spacing w:after="20"/>
            </w:pPr>
            <w:r>
              <w:rPr>
                <w:rFonts w:ascii="Arial" w:hAnsi="Arial"/>
                <w:sz w:val="16"/>
              </w:rPr>
              <w:t>Number of 15-second windows supporting a genre in Top-1, Top-3, or above threshold.</w:t>
            </w:r>
          </w:p>
        </w:tc>
        <w:tc>
          <w:tcPr>
            <w:tcW w:type="dxa" w:w="3312"/>
            <w:vAlign w:val="center"/>
          </w:tcPr>
          <w:p>
            <w:pPr>
              <w:spacing w:after="20"/>
            </w:pPr>
            <w:r>
              <w:rPr>
                <w:rFonts w:ascii="Arial" w:hAnsi="Arial"/>
                <w:sz w:val="16"/>
              </w:rPr>
              <w:t>Full-song interpretation</w:t>
            </w:r>
          </w:p>
        </w:tc>
      </w:tr>
      <w:tr>
        <w:tc>
          <w:tcPr>
            <w:tcW w:type="dxa" w:w="3312"/>
            <w:vAlign w:val="center"/>
          </w:tcPr>
          <w:p>
            <w:pPr>
              <w:spacing w:after="20"/>
            </w:pPr>
            <w:r>
              <w:rPr>
                <w:rFonts w:ascii="Arial" w:hAnsi="Arial"/>
                <w:sz w:val="16"/>
              </w:rPr>
              <w:t>low_confidence</w:t>
            </w:r>
          </w:p>
        </w:tc>
        <w:tc>
          <w:tcPr>
            <w:tcW w:type="dxa" w:w="3312"/>
            <w:vAlign w:val="center"/>
          </w:tcPr>
          <w:p>
            <w:pPr>
              <w:spacing w:after="20"/>
            </w:pPr>
            <w:r>
              <w:rPr>
                <w:rFonts w:ascii="Arial" w:hAnsi="Arial"/>
                <w:sz w:val="16"/>
              </w:rPr>
              <w:t>Flag showing that the main score is below the confidence threshold.</w:t>
            </w:r>
          </w:p>
        </w:tc>
        <w:tc>
          <w:tcPr>
            <w:tcW w:type="dxa" w:w="3312"/>
            <w:vAlign w:val="center"/>
          </w:tcPr>
          <w:p>
            <w:pPr>
              <w:spacing w:after="20"/>
            </w:pPr>
            <w:r>
              <w:rPr>
                <w:rFonts w:ascii="Arial" w:hAnsi="Arial"/>
                <w:sz w:val="16"/>
              </w:rPr>
              <w:t>Risk-aware reporting</w:t>
            </w:r>
          </w:p>
        </w:tc>
      </w:tr>
      <w:tr>
        <w:tc>
          <w:tcPr>
            <w:tcW w:type="dxa" w:w="3312"/>
            <w:vAlign w:val="center"/>
          </w:tcPr>
          <w:p>
            <w:pPr>
              <w:spacing w:after="20"/>
            </w:pPr>
            <w:r>
              <w:rPr>
                <w:rFonts w:ascii="Arial" w:hAnsi="Arial"/>
                <w:sz w:val="16"/>
              </w:rPr>
              <w:t>Micro F1</w:t>
            </w:r>
          </w:p>
        </w:tc>
        <w:tc>
          <w:tcPr>
            <w:tcW w:type="dxa" w:w="3312"/>
            <w:vAlign w:val="center"/>
          </w:tcPr>
          <w:p>
            <w:pPr>
              <w:spacing w:after="20"/>
            </w:pPr>
            <w:r>
              <w:rPr>
                <w:rFonts w:ascii="Arial" w:hAnsi="Arial"/>
                <w:sz w:val="16"/>
              </w:rPr>
              <w:t>Multi-label F1 weighted toward common labels.</w:t>
            </w:r>
          </w:p>
        </w:tc>
        <w:tc>
          <w:tcPr>
            <w:tcW w:type="dxa" w:w="3312"/>
            <w:vAlign w:val="center"/>
          </w:tcPr>
          <w:p>
            <w:pPr>
              <w:spacing w:after="20"/>
            </w:pPr>
            <w:r>
              <w:rPr>
                <w:rFonts w:ascii="Arial" w:hAnsi="Arial"/>
                <w:sz w:val="16"/>
              </w:rPr>
              <w:t>Notebook 49 metrics</w:t>
            </w:r>
          </w:p>
        </w:tc>
      </w:tr>
      <w:tr>
        <w:tc>
          <w:tcPr>
            <w:tcW w:type="dxa" w:w="3312"/>
            <w:vAlign w:val="center"/>
          </w:tcPr>
          <w:p>
            <w:pPr>
              <w:spacing w:after="20"/>
            </w:pPr>
            <w:r>
              <w:rPr>
                <w:rFonts w:ascii="Arial" w:hAnsi="Arial"/>
                <w:sz w:val="16"/>
              </w:rPr>
              <w:t>Macro F1</w:t>
            </w:r>
          </w:p>
        </w:tc>
        <w:tc>
          <w:tcPr>
            <w:tcW w:type="dxa" w:w="3312"/>
            <w:vAlign w:val="center"/>
          </w:tcPr>
          <w:p>
            <w:pPr>
              <w:spacing w:after="20"/>
            </w:pPr>
            <w:r>
              <w:rPr>
                <w:rFonts w:ascii="Arial" w:hAnsi="Arial"/>
                <w:sz w:val="16"/>
              </w:rPr>
              <w:t>Average F1 across labels, sensitive to rare-label weakness.</w:t>
            </w:r>
          </w:p>
        </w:tc>
        <w:tc>
          <w:tcPr>
            <w:tcW w:type="dxa" w:w="3312"/>
            <w:vAlign w:val="center"/>
          </w:tcPr>
          <w:p>
            <w:pPr>
              <w:spacing w:after="20"/>
            </w:pPr>
            <w:r>
              <w:rPr>
                <w:rFonts w:ascii="Arial" w:hAnsi="Arial"/>
                <w:sz w:val="16"/>
              </w:rPr>
              <w:t>Notebook 49 metrics</w:t>
            </w:r>
          </w:p>
        </w:tc>
      </w:tr>
    </w:tbl>
    <w:p>
      <w:pPr>
        <w:pStyle w:val="Heading1"/>
      </w:pPr>
      <w:r>
        <w:rPr>
          <w:rFonts w:ascii="Arial" w:hAnsi="Arial"/>
          <w:color w:val="0B3D3A"/>
        </w:rPr>
        <w:t>How to Review or Re-run the Code</w:t>
      </w:r>
    </w:p>
    <w:p>
      <w:r>
        <w:rPr>
          <w:rFonts w:ascii="Arial" w:hAnsi="Arial"/>
          <w:b w:val="0"/>
          <w:i w:val="0"/>
          <w:sz w:val="21"/>
        </w:rPr>
        <w:t>Use the notebook PDFs first when assessing the submitted code. They preserve code cells and outputs and avoid the need to rerun long experiments.</w:t>
      </w:r>
    </w:p>
    <w:p>
      <w:r>
        <w:rPr>
          <w:rFonts w:ascii="Arial" w:hAnsi="Arial"/>
          <w:b w:val="0"/>
          <w:i w:val="0"/>
          <w:sz w:val="21"/>
        </w:rPr>
        <w:t>Use the .ipynb files when code inspection or rerunning is required. The notebooks are numbered to show the execution and research order.</w:t>
      </w:r>
    </w:p>
    <w:p>
      <w:r>
        <w:rPr>
          <w:rFonts w:ascii="Arial" w:hAnsi="Arial"/>
          <w:b w:val="0"/>
          <w:i w:val="0"/>
          <w:sz w:val="21"/>
        </w:rPr>
        <w:t>Use outputs/notebook49_fma_test_batch_evaluation/ for final internal test evidence and outputs/notebook50_external_song_batch_windowed/ for final external evaluation evidence.</w:t>
      </w:r>
    </w:p>
    <w:p>
      <w:r>
        <w:rPr>
          <w:rFonts w:ascii="Arial" w:hAnsi="Arial"/>
          <w:b w:val="0"/>
          <w:i w:val="0"/>
          <w:sz w:val="21"/>
        </w:rPr>
        <w:t>Use streamlit_app.py for the deployed demo logic. The demo should be interpreted through Top-k ranking, confidence, and window votes rather than only the first predicted label.</w:t>
      </w:r>
    </w:p>
    <w:p>
      <w:pPr>
        <w:pStyle w:val="Heading1"/>
      </w:pPr>
      <w:r>
        <w:rPr>
          <w:rFonts w:ascii="Arial" w:hAnsi="Arial"/>
          <w:color w:val="0B3D3A"/>
        </w:rPr>
        <w:t>Appendix A: Notebook Register</w:t>
      </w:r>
    </w:p>
    <w:tbl>
      <w:tblPr>
        <w:tblStyle w:val="TableGrid"/>
        <w:tblW w:type="auto" w:w="0"/>
        <w:jc w:val="center"/>
        <w:tblLook w:firstColumn="1" w:firstRow="1" w:lastColumn="0" w:lastRow="0" w:noHBand="0" w:noVBand="1" w:val="04A0"/>
      </w:tblPr>
      <w:tblGrid>
        <w:gridCol w:w="1656"/>
        <w:gridCol w:w="1656"/>
        <w:gridCol w:w="1656"/>
        <w:gridCol w:w="1656"/>
        <w:gridCol w:w="1656"/>
        <w:gridCol w:w="1656"/>
      </w:tblGrid>
      <w:tr>
        <w:tc>
          <w:tcPr>
            <w:tcW w:type="dxa" w:w="1656"/>
            <w:vAlign w:val="center"/>
            <w:shd w:fill="0B3D3A"/>
          </w:tcPr>
          <w:p>
            <w:pPr>
              <w:spacing w:after="20"/>
            </w:pPr>
            <w:r>
              <w:rPr>
                <w:rFonts w:ascii="Arial" w:hAnsi="Arial"/>
                <w:b/>
                <w:color w:val="FFFFFF"/>
                <w:sz w:val="12"/>
              </w:rPr>
              <w:t>No.</w:t>
            </w:r>
          </w:p>
        </w:tc>
        <w:tc>
          <w:tcPr>
            <w:tcW w:type="dxa" w:w="1656"/>
            <w:vAlign w:val="center"/>
            <w:shd w:fill="0B3D3A"/>
          </w:tcPr>
          <w:p>
            <w:pPr>
              <w:spacing w:after="20"/>
            </w:pPr>
            <w:r>
              <w:rPr>
                <w:rFonts w:ascii="Arial" w:hAnsi="Arial"/>
                <w:b/>
                <w:color w:val="FFFFFF"/>
                <w:sz w:val="12"/>
              </w:rPr>
              <w:t>Notebook file</w:t>
            </w:r>
          </w:p>
        </w:tc>
        <w:tc>
          <w:tcPr>
            <w:tcW w:type="dxa" w:w="1656"/>
            <w:vAlign w:val="center"/>
            <w:shd w:fill="0B3D3A"/>
          </w:tcPr>
          <w:p>
            <w:pPr>
              <w:spacing w:after="20"/>
            </w:pPr>
            <w:r>
              <w:rPr>
                <w:rFonts w:ascii="Arial" w:hAnsi="Arial"/>
                <w:b/>
                <w:color w:val="FFFFFF"/>
                <w:sz w:val="12"/>
              </w:rPr>
              <w:t>Phase</w:t>
            </w:r>
          </w:p>
        </w:tc>
        <w:tc>
          <w:tcPr>
            <w:tcW w:type="dxa" w:w="1656"/>
            <w:vAlign w:val="center"/>
            <w:shd w:fill="0B3D3A"/>
          </w:tcPr>
          <w:p>
            <w:pPr>
              <w:spacing w:after="20"/>
            </w:pPr>
            <w:r>
              <w:rPr>
                <w:rFonts w:ascii="Arial" w:hAnsi="Arial"/>
                <w:b/>
                <w:color w:val="FFFFFF"/>
                <w:sz w:val="12"/>
              </w:rPr>
              <w:t>Markdown cells</w:t>
            </w:r>
          </w:p>
        </w:tc>
        <w:tc>
          <w:tcPr>
            <w:tcW w:type="dxa" w:w="1656"/>
            <w:vAlign w:val="center"/>
            <w:shd w:fill="0B3D3A"/>
          </w:tcPr>
          <w:p>
            <w:pPr>
              <w:spacing w:after="20"/>
            </w:pPr>
            <w:r>
              <w:rPr>
                <w:rFonts w:ascii="Arial" w:hAnsi="Arial"/>
                <w:b/>
                <w:color w:val="FFFFFF"/>
                <w:sz w:val="12"/>
              </w:rPr>
              <w:t>Code cells</w:t>
            </w:r>
          </w:p>
        </w:tc>
        <w:tc>
          <w:tcPr>
            <w:tcW w:type="dxa" w:w="1656"/>
            <w:vAlign w:val="center"/>
            <w:shd w:fill="0B3D3A"/>
          </w:tcPr>
          <w:p>
            <w:pPr>
              <w:spacing w:after="20"/>
            </w:pPr>
            <w:r>
              <w:rPr>
                <w:rFonts w:ascii="Arial" w:hAnsi="Arial"/>
                <w:b/>
                <w:color w:val="FFFFFF"/>
                <w:sz w:val="12"/>
              </w:rPr>
              <w:t>Outputs</w:t>
            </w:r>
          </w:p>
        </w:tc>
      </w:tr>
      <w:tr>
        <w:tc>
          <w:tcPr>
            <w:tcW w:type="dxa" w:w="1656"/>
            <w:vAlign w:val="center"/>
          </w:tcPr>
          <w:p>
            <w:pPr>
              <w:spacing w:after="20"/>
            </w:pPr>
            <w:r>
              <w:rPr>
                <w:rFonts w:ascii="Arial" w:hAnsi="Arial"/>
                <w:sz w:val="12"/>
              </w:rPr>
              <w:t>01</w:t>
            </w:r>
          </w:p>
        </w:tc>
        <w:tc>
          <w:tcPr>
            <w:tcW w:type="dxa" w:w="1656"/>
            <w:vAlign w:val="center"/>
          </w:tcPr>
          <w:p>
            <w:pPr>
              <w:spacing w:after="20"/>
            </w:pPr>
            <w:r>
              <w:rPr>
                <w:rFonts w:ascii="Arial" w:hAnsi="Arial"/>
                <w:sz w:val="12"/>
              </w:rPr>
              <w:t>01_metadata_understanding.ipynb</w:t>
            </w:r>
          </w:p>
        </w:tc>
        <w:tc>
          <w:tcPr>
            <w:tcW w:type="dxa" w:w="1656"/>
            <w:vAlign w:val="center"/>
          </w:tcPr>
          <w:p>
            <w:pPr>
              <w:spacing w:after="20"/>
            </w:pPr>
            <w:r>
              <w:rPr>
                <w:rFonts w:ascii="Arial" w:hAnsi="Arial"/>
                <w:sz w:val="12"/>
              </w:rPr>
              <w:t>Foundation and structured modelling</w:t>
            </w:r>
          </w:p>
        </w:tc>
        <w:tc>
          <w:tcPr>
            <w:tcW w:type="dxa" w:w="1656"/>
            <w:vAlign w:val="center"/>
          </w:tcPr>
          <w:p>
            <w:pPr>
              <w:spacing w:after="20"/>
            </w:pPr>
            <w:r>
              <w:rPr>
                <w:rFonts w:ascii="Arial" w:hAnsi="Arial"/>
                <w:sz w:val="12"/>
              </w:rPr>
              <w:t>0</w:t>
            </w:r>
          </w:p>
        </w:tc>
        <w:tc>
          <w:tcPr>
            <w:tcW w:type="dxa" w:w="1656"/>
            <w:vAlign w:val="center"/>
          </w:tcPr>
          <w:p>
            <w:pPr>
              <w:spacing w:after="20"/>
            </w:pPr>
            <w:r>
              <w:rPr>
                <w:rFonts w:ascii="Arial" w:hAnsi="Arial"/>
                <w:sz w:val="12"/>
              </w:rPr>
              <w:t>21</w:t>
            </w:r>
          </w:p>
        </w:tc>
        <w:tc>
          <w:tcPr>
            <w:tcW w:type="dxa" w:w="1656"/>
            <w:vAlign w:val="center"/>
          </w:tcPr>
          <w:p>
            <w:pPr>
              <w:spacing w:after="20"/>
            </w:pPr>
            <w:r>
              <w:rPr>
                <w:rFonts w:ascii="Arial" w:hAnsi="Arial"/>
                <w:sz w:val="12"/>
              </w:rPr>
              <w:t>17</w:t>
            </w:r>
          </w:p>
        </w:tc>
      </w:tr>
      <w:tr>
        <w:tc>
          <w:tcPr>
            <w:tcW w:type="dxa" w:w="1656"/>
            <w:vAlign w:val="center"/>
          </w:tcPr>
          <w:p>
            <w:pPr>
              <w:spacing w:after="20"/>
            </w:pPr>
            <w:r>
              <w:rPr>
                <w:rFonts w:ascii="Arial" w:hAnsi="Arial"/>
                <w:sz w:val="12"/>
              </w:rPr>
              <w:t>02</w:t>
            </w:r>
          </w:p>
        </w:tc>
        <w:tc>
          <w:tcPr>
            <w:tcW w:type="dxa" w:w="1656"/>
            <w:vAlign w:val="center"/>
          </w:tcPr>
          <w:p>
            <w:pPr>
              <w:spacing w:after="20"/>
            </w:pPr>
            <w:r>
              <w:rPr>
                <w:rFonts w:ascii="Arial" w:hAnsi="Arial"/>
                <w:sz w:val="12"/>
              </w:rPr>
              <w:t>02_structured_model_features.ipynb</w:t>
            </w:r>
          </w:p>
        </w:tc>
        <w:tc>
          <w:tcPr>
            <w:tcW w:type="dxa" w:w="1656"/>
            <w:vAlign w:val="center"/>
          </w:tcPr>
          <w:p>
            <w:pPr>
              <w:spacing w:after="20"/>
            </w:pPr>
            <w:r>
              <w:rPr>
                <w:rFonts w:ascii="Arial" w:hAnsi="Arial"/>
                <w:sz w:val="12"/>
              </w:rPr>
              <w:t>Foundation and structured modelling</w:t>
            </w:r>
          </w:p>
        </w:tc>
        <w:tc>
          <w:tcPr>
            <w:tcW w:type="dxa" w:w="1656"/>
            <w:vAlign w:val="center"/>
          </w:tcPr>
          <w:p>
            <w:pPr>
              <w:spacing w:after="20"/>
            </w:pPr>
            <w:r>
              <w:rPr>
                <w:rFonts w:ascii="Arial" w:hAnsi="Arial"/>
                <w:sz w:val="12"/>
              </w:rPr>
              <w:t>2</w:t>
            </w:r>
          </w:p>
        </w:tc>
        <w:tc>
          <w:tcPr>
            <w:tcW w:type="dxa" w:w="1656"/>
            <w:vAlign w:val="center"/>
          </w:tcPr>
          <w:p>
            <w:pPr>
              <w:spacing w:after="20"/>
            </w:pPr>
            <w:r>
              <w:rPr>
                <w:rFonts w:ascii="Arial" w:hAnsi="Arial"/>
                <w:sz w:val="12"/>
              </w:rPr>
              <w:t>18</w:t>
            </w:r>
          </w:p>
        </w:tc>
        <w:tc>
          <w:tcPr>
            <w:tcW w:type="dxa" w:w="1656"/>
            <w:vAlign w:val="center"/>
          </w:tcPr>
          <w:p>
            <w:pPr>
              <w:spacing w:after="20"/>
            </w:pPr>
            <w:r>
              <w:rPr>
                <w:rFonts w:ascii="Arial" w:hAnsi="Arial"/>
                <w:sz w:val="12"/>
              </w:rPr>
              <w:t>14</w:t>
            </w:r>
          </w:p>
        </w:tc>
      </w:tr>
      <w:tr>
        <w:tc>
          <w:tcPr>
            <w:tcW w:type="dxa" w:w="1656"/>
            <w:vAlign w:val="center"/>
          </w:tcPr>
          <w:p>
            <w:pPr>
              <w:spacing w:after="20"/>
            </w:pPr>
            <w:r>
              <w:rPr>
                <w:rFonts w:ascii="Arial" w:hAnsi="Arial"/>
                <w:sz w:val="12"/>
              </w:rPr>
              <w:t>03</w:t>
            </w:r>
          </w:p>
        </w:tc>
        <w:tc>
          <w:tcPr>
            <w:tcW w:type="dxa" w:w="1656"/>
            <w:vAlign w:val="center"/>
          </w:tcPr>
          <w:p>
            <w:pPr>
              <w:spacing w:after="20"/>
            </w:pPr>
            <w:r>
              <w:rPr>
                <w:rFonts w:ascii="Arial" w:hAnsi="Arial"/>
                <w:sz w:val="12"/>
              </w:rPr>
              <w:t>03_echonest_experiment.ipynb</w:t>
            </w:r>
          </w:p>
        </w:tc>
        <w:tc>
          <w:tcPr>
            <w:tcW w:type="dxa" w:w="1656"/>
            <w:vAlign w:val="center"/>
          </w:tcPr>
          <w:p>
            <w:pPr>
              <w:spacing w:after="20"/>
            </w:pPr>
            <w:r>
              <w:rPr>
                <w:rFonts w:ascii="Arial" w:hAnsi="Arial"/>
                <w:sz w:val="12"/>
              </w:rPr>
              <w:t>Foundation and structured modelling</w:t>
            </w:r>
          </w:p>
        </w:tc>
        <w:tc>
          <w:tcPr>
            <w:tcW w:type="dxa" w:w="1656"/>
            <w:vAlign w:val="center"/>
          </w:tcPr>
          <w:p>
            <w:pPr>
              <w:spacing w:after="20"/>
            </w:pPr>
            <w:r>
              <w:rPr>
                <w:rFonts w:ascii="Arial" w:hAnsi="Arial"/>
                <w:sz w:val="12"/>
              </w:rPr>
              <w:t>0</w:t>
            </w:r>
          </w:p>
        </w:tc>
        <w:tc>
          <w:tcPr>
            <w:tcW w:type="dxa" w:w="1656"/>
            <w:vAlign w:val="center"/>
          </w:tcPr>
          <w:p>
            <w:pPr>
              <w:spacing w:after="20"/>
            </w:pPr>
            <w:r>
              <w:rPr>
                <w:rFonts w:ascii="Arial" w:hAnsi="Arial"/>
                <w:sz w:val="12"/>
              </w:rPr>
              <w:t>10</w:t>
            </w:r>
          </w:p>
        </w:tc>
        <w:tc>
          <w:tcPr>
            <w:tcW w:type="dxa" w:w="1656"/>
            <w:vAlign w:val="center"/>
          </w:tcPr>
          <w:p>
            <w:pPr>
              <w:spacing w:after="20"/>
            </w:pPr>
            <w:r>
              <w:rPr>
                <w:rFonts w:ascii="Arial" w:hAnsi="Arial"/>
                <w:sz w:val="12"/>
              </w:rPr>
              <w:t>5</w:t>
            </w:r>
          </w:p>
        </w:tc>
      </w:tr>
      <w:tr>
        <w:tc>
          <w:tcPr>
            <w:tcW w:type="dxa" w:w="1656"/>
            <w:vAlign w:val="center"/>
          </w:tcPr>
          <w:p>
            <w:pPr>
              <w:spacing w:after="20"/>
            </w:pPr>
            <w:r>
              <w:rPr>
                <w:rFonts w:ascii="Arial" w:hAnsi="Arial"/>
                <w:sz w:val="12"/>
              </w:rPr>
              <w:t>04</w:t>
            </w:r>
          </w:p>
        </w:tc>
        <w:tc>
          <w:tcPr>
            <w:tcW w:type="dxa" w:w="1656"/>
            <w:vAlign w:val="center"/>
          </w:tcPr>
          <w:p>
            <w:pPr>
              <w:spacing w:after="20"/>
            </w:pPr>
            <w:r>
              <w:rPr>
                <w:rFonts w:ascii="Arial" w:hAnsi="Arial"/>
                <w:sz w:val="12"/>
              </w:rPr>
              <w:t>04_mongodb_pipeline.ipynb</w:t>
            </w:r>
          </w:p>
        </w:tc>
        <w:tc>
          <w:tcPr>
            <w:tcW w:type="dxa" w:w="1656"/>
            <w:vAlign w:val="center"/>
          </w:tcPr>
          <w:p>
            <w:pPr>
              <w:spacing w:after="20"/>
            </w:pPr>
            <w:r>
              <w:rPr>
                <w:rFonts w:ascii="Arial" w:hAnsi="Arial"/>
                <w:sz w:val="12"/>
              </w:rPr>
              <w:t>Foundation and structured modelling</w:t>
            </w:r>
          </w:p>
        </w:tc>
        <w:tc>
          <w:tcPr>
            <w:tcW w:type="dxa" w:w="1656"/>
            <w:vAlign w:val="center"/>
          </w:tcPr>
          <w:p>
            <w:pPr>
              <w:spacing w:after="20"/>
            </w:pPr>
            <w:r>
              <w:rPr>
                <w:rFonts w:ascii="Arial" w:hAnsi="Arial"/>
                <w:sz w:val="12"/>
              </w:rPr>
              <w:t>1</w:t>
            </w:r>
          </w:p>
        </w:tc>
        <w:tc>
          <w:tcPr>
            <w:tcW w:type="dxa" w:w="1656"/>
            <w:vAlign w:val="center"/>
          </w:tcPr>
          <w:p>
            <w:pPr>
              <w:spacing w:after="20"/>
            </w:pPr>
            <w:r>
              <w:rPr>
                <w:rFonts w:ascii="Arial" w:hAnsi="Arial"/>
                <w:sz w:val="12"/>
              </w:rPr>
              <w:t>13</w:t>
            </w:r>
          </w:p>
        </w:tc>
        <w:tc>
          <w:tcPr>
            <w:tcW w:type="dxa" w:w="1656"/>
            <w:vAlign w:val="center"/>
          </w:tcPr>
          <w:p>
            <w:pPr>
              <w:spacing w:after="20"/>
            </w:pPr>
            <w:r>
              <w:rPr>
                <w:rFonts w:ascii="Arial" w:hAnsi="Arial"/>
                <w:sz w:val="12"/>
              </w:rPr>
              <w:t>11</w:t>
            </w:r>
          </w:p>
        </w:tc>
      </w:tr>
      <w:tr>
        <w:tc>
          <w:tcPr>
            <w:tcW w:type="dxa" w:w="1656"/>
            <w:vAlign w:val="center"/>
          </w:tcPr>
          <w:p>
            <w:pPr>
              <w:spacing w:after="20"/>
            </w:pPr>
            <w:r>
              <w:rPr>
                <w:rFonts w:ascii="Arial" w:hAnsi="Arial"/>
                <w:sz w:val="12"/>
              </w:rPr>
              <w:t>05</w:t>
            </w:r>
          </w:p>
        </w:tc>
        <w:tc>
          <w:tcPr>
            <w:tcW w:type="dxa" w:w="1656"/>
            <w:vAlign w:val="center"/>
          </w:tcPr>
          <w:p>
            <w:pPr>
              <w:spacing w:after="20"/>
            </w:pPr>
            <w:r>
              <w:rPr>
                <w:rFonts w:ascii="Arial" w:hAnsi="Arial"/>
                <w:sz w:val="12"/>
              </w:rPr>
              <w:t>05_structured_model_medium.ipynb</w:t>
            </w:r>
          </w:p>
        </w:tc>
        <w:tc>
          <w:tcPr>
            <w:tcW w:type="dxa" w:w="1656"/>
            <w:vAlign w:val="center"/>
          </w:tcPr>
          <w:p>
            <w:pPr>
              <w:spacing w:after="20"/>
            </w:pPr>
            <w:r>
              <w:rPr>
                <w:rFonts w:ascii="Arial" w:hAnsi="Arial"/>
                <w:sz w:val="12"/>
              </w:rPr>
              <w:t>Foundation and structured modelling</w:t>
            </w:r>
          </w:p>
        </w:tc>
        <w:tc>
          <w:tcPr>
            <w:tcW w:type="dxa" w:w="1656"/>
            <w:vAlign w:val="center"/>
          </w:tcPr>
          <w:p>
            <w:pPr>
              <w:spacing w:after="20"/>
            </w:pPr>
            <w:r>
              <w:rPr>
                <w:rFonts w:ascii="Arial" w:hAnsi="Arial"/>
                <w:sz w:val="12"/>
              </w:rPr>
              <w:t>1</w:t>
            </w:r>
          </w:p>
        </w:tc>
        <w:tc>
          <w:tcPr>
            <w:tcW w:type="dxa" w:w="1656"/>
            <w:vAlign w:val="center"/>
          </w:tcPr>
          <w:p>
            <w:pPr>
              <w:spacing w:after="20"/>
            </w:pPr>
            <w:r>
              <w:rPr>
                <w:rFonts w:ascii="Arial" w:hAnsi="Arial"/>
                <w:sz w:val="12"/>
              </w:rPr>
              <w:t>15</w:t>
            </w:r>
          </w:p>
        </w:tc>
        <w:tc>
          <w:tcPr>
            <w:tcW w:type="dxa" w:w="1656"/>
            <w:vAlign w:val="center"/>
          </w:tcPr>
          <w:p>
            <w:pPr>
              <w:spacing w:after="20"/>
            </w:pPr>
            <w:r>
              <w:rPr>
                <w:rFonts w:ascii="Arial" w:hAnsi="Arial"/>
                <w:sz w:val="12"/>
              </w:rPr>
              <w:t>20</w:t>
            </w:r>
          </w:p>
        </w:tc>
      </w:tr>
      <w:tr>
        <w:tc>
          <w:tcPr>
            <w:tcW w:type="dxa" w:w="1656"/>
            <w:vAlign w:val="center"/>
          </w:tcPr>
          <w:p>
            <w:pPr>
              <w:spacing w:after="20"/>
            </w:pPr>
            <w:r>
              <w:rPr>
                <w:rFonts w:ascii="Arial" w:hAnsi="Arial"/>
                <w:sz w:val="12"/>
              </w:rPr>
              <w:t>06</w:t>
            </w:r>
          </w:p>
        </w:tc>
        <w:tc>
          <w:tcPr>
            <w:tcW w:type="dxa" w:w="1656"/>
            <w:vAlign w:val="center"/>
          </w:tcPr>
          <w:p>
            <w:pPr>
              <w:spacing w:after="20"/>
            </w:pPr>
            <w:r>
              <w:rPr>
                <w:rFonts w:ascii="Arial" w:hAnsi="Arial"/>
                <w:sz w:val="12"/>
              </w:rPr>
              <w:t>06_large_subset_analysis_and_structured_model.ipynb</w:t>
            </w:r>
          </w:p>
        </w:tc>
        <w:tc>
          <w:tcPr>
            <w:tcW w:type="dxa" w:w="1656"/>
            <w:vAlign w:val="center"/>
          </w:tcPr>
          <w:p>
            <w:pPr>
              <w:spacing w:after="20"/>
            </w:pPr>
            <w:r>
              <w:rPr>
                <w:rFonts w:ascii="Arial" w:hAnsi="Arial"/>
                <w:sz w:val="12"/>
              </w:rPr>
              <w:t>Foundation and structured modelling</w:t>
            </w:r>
          </w:p>
        </w:tc>
        <w:tc>
          <w:tcPr>
            <w:tcW w:type="dxa" w:w="1656"/>
            <w:vAlign w:val="center"/>
          </w:tcPr>
          <w:p>
            <w:pPr>
              <w:spacing w:after="20"/>
            </w:pPr>
            <w:r>
              <w:rPr>
                <w:rFonts w:ascii="Arial" w:hAnsi="Arial"/>
                <w:sz w:val="12"/>
              </w:rPr>
              <w:t>1</w:t>
            </w:r>
          </w:p>
        </w:tc>
        <w:tc>
          <w:tcPr>
            <w:tcW w:type="dxa" w:w="1656"/>
            <w:vAlign w:val="center"/>
          </w:tcPr>
          <w:p>
            <w:pPr>
              <w:spacing w:after="20"/>
            </w:pPr>
            <w:r>
              <w:rPr>
                <w:rFonts w:ascii="Arial" w:hAnsi="Arial"/>
                <w:sz w:val="12"/>
              </w:rPr>
              <w:t>22</w:t>
            </w:r>
          </w:p>
        </w:tc>
        <w:tc>
          <w:tcPr>
            <w:tcW w:type="dxa" w:w="1656"/>
            <w:vAlign w:val="center"/>
          </w:tcPr>
          <w:p>
            <w:pPr>
              <w:spacing w:after="20"/>
            </w:pPr>
            <w:r>
              <w:rPr>
                <w:rFonts w:ascii="Arial" w:hAnsi="Arial"/>
                <w:sz w:val="12"/>
              </w:rPr>
              <w:t>22</w:t>
            </w:r>
          </w:p>
        </w:tc>
      </w:tr>
      <w:tr>
        <w:tc>
          <w:tcPr>
            <w:tcW w:type="dxa" w:w="1656"/>
            <w:vAlign w:val="center"/>
          </w:tcPr>
          <w:p>
            <w:pPr>
              <w:spacing w:after="20"/>
            </w:pPr>
            <w:r>
              <w:rPr>
                <w:rFonts w:ascii="Arial" w:hAnsi="Arial"/>
                <w:sz w:val="12"/>
              </w:rPr>
              <w:t>07</w:t>
            </w:r>
          </w:p>
        </w:tc>
        <w:tc>
          <w:tcPr>
            <w:tcW w:type="dxa" w:w="1656"/>
            <w:vAlign w:val="center"/>
          </w:tcPr>
          <w:p>
            <w:pPr>
              <w:spacing w:after="20"/>
            </w:pPr>
            <w:r>
              <w:rPr>
                <w:rFonts w:ascii="Arial" w:hAnsi="Arial"/>
                <w:sz w:val="12"/>
              </w:rPr>
              <w:t>07_audio_model.ipynb</w:t>
            </w:r>
          </w:p>
        </w:tc>
        <w:tc>
          <w:tcPr>
            <w:tcW w:type="dxa" w:w="1656"/>
            <w:vAlign w:val="center"/>
          </w:tcPr>
          <w:p>
            <w:pPr>
              <w:spacing w:after="20"/>
            </w:pPr>
            <w:r>
              <w:rPr>
                <w:rFonts w:ascii="Arial" w:hAnsi="Arial"/>
                <w:sz w:val="12"/>
              </w:rPr>
              <w:t>Initial audio, hybrid, and prediction pipeline</w:t>
            </w:r>
          </w:p>
        </w:tc>
        <w:tc>
          <w:tcPr>
            <w:tcW w:type="dxa" w:w="1656"/>
            <w:vAlign w:val="center"/>
          </w:tcPr>
          <w:p>
            <w:pPr>
              <w:spacing w:after="20"/>
            </w:pPr>
            <w:r>
              <w:rPr>
                <w:rFonts w:ascii="Arial" w:hAnsi="Arial"/>
                <w:sz w:val="12"/>
              </w:rPr>
              <w:t>1</w:t>
            </w:r>
          </w:p>
        </w:tc>
        <w:tc>
          <w:tcPr>
            <w:tcW w:type="dxa" w:w="1656"/>
            <w:vAlign w:val="center"/>
          </w:tcPr>
          <w:p>
            <w:pPr>
              <w:spacing w:after="20"/>
            </w:pPr>
            <w:r>
              <w:rPr>
                <w:rFonts w:ascii="Arial" w:hAnsi="Arial"/>
                <w:sz w:val="12"/>
              </w:rPr>
              <w:t>25</w:t>
            </w:r>
          </w:p>
        </w:tc>
        <w:tc>
          <w:tcPr>
            <w:tcW w:type="dxa" w:w="1656"/>
            <w:vAlign w:val="center"/>
          </w:tcPr>
          <w:p>
            <w:pPr>
              <w:spacing w:after="20"/>
            </w:pPr>
            <w:r>
              <w:rPr>
                <w:rFonts w:ascii="Arial" w:hAnsi="Arial"/>
                <w:sz w:val="12"/>
              </w:rPr>
              <w:t>27</w:t>
            </w:r>
          </w:p>
        </w:tc>
      </w:tr>
      <w:tr>
        <w:tc>
          <w:tcPr>
            <w:tcW w:type="dxa" w:w="1656"/>
            <w:vAlign w:val="center"/>
          </w:tcPr>
          <w:p>
            <w:pPr>
              <w:spacing w:after="20"/>
            </w:pPr>
            <w:r>
              <w:rPr>
                <w:rFonts w:ascii="Arial" w:hAnsi="Arial"/>
                <w:sz w:val="12"/>
              </w:rPr>
              <w:t>08</w:t>
            </w:r>
          </w:p>
        </w:tc>
        <w:tc>
          <w:tcPr>
            <w:tcW w:type="dxa" w:w="1656"/>
            <w:vAlign w:val="center"/>
          </w:tcPr>
          <w:p>
            <w:pPr>
              <w:spacing w:after="20"/>
            </w:pPr>
            <w:r>
              <w:rPr>
                <w:rFonts w:ascii="Arial" w:hAnsi="Arial"/>
                <w:sz w:val="12"/>
              </w:rPr>
              <w:t>08_improved_audio_model_from_large.ipynb</w:t>
            </w:r>
          </w:p>
        </w:tc>
        <w:tc>
          <w:tcPr>
            <w:tcW w:type="dxa" w:w="1656"/>
            <w:vAlign w:val="center"/>
          </w:tcPr>
          <w:p>
            <w:pPr>
              <w:spacing w:after="20"/>
            </w:pPr>
            <w:r>
              <w:rPr>
                <w:rFonts w:ascii="Arial" w:hAnsi="Arial"/>
                <w:sz w:val="12"/>
              </w:rPr>
              <w:t>Initial audio, hybrid, and prediction pipeline</w:t>
            </w:r>
          </w:p>
        </w:tc>
        <w:tc>
          <w:tcPr>
            <w:tcW w:type="dxa" w:w="1656"/>
            <w:vAlign w:val="center"/>
          </w:tcPr>
          <w:p>
            <w:pPr>
              <w:spacing w:after="20"/>
            </w:pPr>
            <w:r>
              <w:rPr>
                <w:rFonts w:ascii="Arial" w:hAnsi="Arial"/>
                <w:sz w:val="12"/>
              </w:rPr>
              <w:t>1</w:t>
            </w:r>
          </w:p>
        </w:tc>
        <w:tc>
          <w:tcPr>
            <w:tcW w:type="dxa" w:w="1656"/>
            <w:vAlign w:val="center"/>
          </w:tcPr>
          <w:p>
            <w:pPr>
              <w:spacing w:after="20"/>
            </w:pPr>
            <w:r>
              <w:rPr>
                <w:rFonts w:ascii="Arial" w:hAnsi="Arial"/>
                <w:sz w:val="12"/>
              </w:rPr>
              <w:t>15</w:t>
            </w:r>
          </w:p>
        </w:tc>
        <w:tc>
          <w:tcPr>
            <w:tcW w:type="dxa" w:w="1656"/>
            <w:vAlign w:val="center"/>
          </w:tcPr>
          <w:p>
            <w:pPr>
              <w:spacing w:after="20"/>
            </w:pPr>
            <w:r>
              <w:rPr>
                <w:rFonts w:ascii="Arial" w:hAnsi="Arial"/>
                <w:sz w:val="12"/>
              </w:rPr>
              <w:t>18</w:t>
            </w:r>
          </w:p>
        </w:tc>
      </w:tr>
      <w:tr>
        <w:tc>
          <w:tcPr>
            <w:tcW w:type="dxa" w:w="1656"/>
            <w:vAlign w:val="center"/>
          </w:tcPr>
          <w:p>
            <w:pPr>
              <w:spacing w:after="20"/>
            </w:pPr>
            <w:r>
              <w:rPr>
                <w:rFonts w:ascii="Arial" w:hAnsi="Arial"/>
                <w:sz w:val="12"/>
              </w:rPr>
              <w:t>09</w:t>
            </w:r>
          </w:p>
        </w:tc>
        <w:tc>
          <w:tcPr>
            <w:tcW w:type="dxa" w:w="1656"/>
            <w:vAlign w:val="center"/>
          </w:tcPr>
          <w:p>
            <w:pPr>
              <w:spacing w:after="20"/>
            </w:pPr>
            <w:r>
              <w:rPr>
                <w:rFonts w:ascii="Arial" w:hAnsi="Arial"/>
                <w:sz w:val="12"/>
              </w:rPr>
              <w:t>09_structured_model_for_audio_hybrid.ipynb</w:t>
            </w:r>
          </w:p>
        </w:tc>
        <w:tc>
          <w:tcPr>
            <w:tcW w:type="dxa" w:w="1656"/>
            <w:vAlign w:val="center"/>
          </w:tcPr>
          <w:p>
            <w:pPr>
              <w:spacing w:after="20"/>
            </w:pPr>
            <w:r>
              <w:rPr>
                <w:rFonts w:ascii="Arial" w:hAnsi="Arial"/>
                <w:sz w:val="12"/>
              </w:rPr>
              <w:t>Initial audio, hybrid, and prediction pipeline</w:t>
            </w:r>
          </w:p>
        </w:tc>
        <w:tc>
          <w:tcPr>
            <w:tcW w:type="dxa" w:w="1656"/>
            <w:vAlign w:val="center"/>
          </w:tcPr>
          <w:p>
            <w:pPr>
              <w:spacing w:after="20"/>
            </w:pPr>
            <w:r>
              <w:rPr>
                <w:rFonts w:ascii="Arial" w:hAnsi="Arial"/>
                <w:sz w:val="12"/>
              </w:rPr>
              <w:t>1</w:t>
            </w:r>
          </w:p>
        </w:tc>
        <w:tc>
          <w:tcPr>
            <w:tcW w:type="dxa" w:w="1656"/>
            <w:vAlign w:val="center"/>
          </w:tcPr>
          <w:p>
            <w:pPr>
              <w:spacing w:after="20"/>
            </w:pPr>
            <w:r>
              <w:rPr>
                <w:rFonts w:ascii="Arial" w:hAnsi="Arial"/>
                <w:sz w:val="12"/>
              </w:rPr>
              <w:t>20</w:t>
            </w:r>
          </w:p>
        </w:tc>
        <w:tc>
          <w:tcPr>
            <w:tcW w:type="dxa" w:w="1656"/>
            <w:vAlign w:val="center"/>
          </w:tcPr>
          <w:p>
            <w:pPr>
              <w:spacing w:after="20"/>
            </w:pPr>
            <w:r>
              <w:rPr>
                <w:rFonts w:ascii="Arial" w:hAnsi="Arial"/>
                <w:sz w:val="12"/>
              </w:rPr>
              <w:t>26</w:t>
            </w:r>
          </w:p>
        </w:tc>
      </w:tr>
      <w:tr>
        <w:tc>
          <w:tcPr>
            <w:tcW w:type="dxa" w:w="1656"/>
            <w:vAlign w:val="center"/>
          </w:tcPr>
          <w:p>
            <w:pPr>
              <w:spacing w:after="20"/>
            </w:pPr>
            <w:r>
              <w:rPr>
                <w:rFonts w:ascii="Arial" w:hAnsi="Arial"/>
                <w:sz w:val="12"/>
              </w:rPr>
              <w:t>10</w:t>
            </w:r>
          </w:p>
        </w:tc>
        <w:tc>
          <w:tcPr>
            <w:tcW w:type="dxa" w:w="1656"/>
            <w:vAlign w:val="center"/>
          </w:tcPr>
          <w:p>
            <w:pPr>
              <w:spacing w:after="20"/>
            </w:pPr>
            <w:r>
              <w:rPr>
                <w:rFonts w:ascii="Arial" w:hAnsi="Arial"/>
                <w:sz w:val="12"/>
              </w:rPr>
              <w:t>10_hybrid_fusion_model.ipynb</w:t>
            </w:r>
          </w:p>
        </w:tc>
        <w:tc>
          <w:tcPr>
            <w:tcW w:type="dxa" w:w="1656"/>
            <w:vAlign w:val="center"/>
          </w:tcPr>
          <w:p>
            <w:pPr>
              <w:spacing w:after="20"/>
            </w:pPr>
            <w:r>
              <w:rPr>
                <w:rFonts w:ascii="Arial" w:hAnsi="Arial"/>
                <w:sz w:val="12"/>
              </w:rPr>
              <w:t>Initial audio, hybrid, and prediction pipeline</w:t>
            </w:r>
          </w:p>
        </w:tc>
        <w:tc>
          <w:tcPr>
            <w:tcW w:type="dxa" w:w="1656"/>
            <w:vAlign w:val="center"/>
          </w:tcPr>
          <w:p>
            <w:pPr>
              <w:spacing w:after="20"/>
            </w:pPr>
            <w:r>
              <w:rPr>
                <w:rFonts w:ascii="Arial" w:hAnsi="Arial"/>
                <w:sz w:val="12"/>
              </w:rPr>
              <w:t>1</w:t>
            </w:r>
          </w:p>
        </w:tc>
        <w:tc>
          <w:tcPr>
            <w:tcW w:type="dxa" w:w="1656"/>
            <w:vAlign w:val="center"/>
          </w:tcPr>
          <w:p>
            <w:pPr>
              <w:spacing w:after="20"/>
            </w:pPr>
            <w:r>
              <w:rPr>
                <w:rFonts w:ascii="Arial" w:hAnsi="Arial"/>
                <w:sz w:val="12"/>
              </w:rPr>
              <w:t>13</w:t>
            </w:r>
          </w:p>
        </w:tc>
        <w:tc>
          <w:tcPr>
            <w:tcW w:type="dxa" w:w="1656"/>
            <w:vAlign w:val="center"/>
          </w:tcPr>
          <w:p>
            <w:pPr>
              <w:spacing w:after="20"/>
            </w:pPr>
            <w:r>
              <w:rPr>
                <w:rFonts w:ascii="Arial" w:hAnsi="Arial"/>
                <w:sz w:val="12"/>
              </w:rPr>
              <w:t>13</w:t>
            </w:r>
          </w:p>
        </w:tc>
      </w:tr>
      <w:tr>
        <w:tc>
          <w:tcPr>
            <w:tcW w:type="dxa" w:w="1656"/>
            <w:vAlign w:val="center"/>
          </w:tcPr>
          <w:p>
            <w:pPr>
              <w:spacing w:after="20"/>
            </w:pPr>
            <w:r>
              <w:rPr>
                <w:rFonts w:ascii="Arial" w:hAnsi="Arial"/>
                <w:sz w:val="12"/>
              </w:rPr>
              <w:t>11</w:t>
            </w:r>
          </w:p>
        </w:tc>
        <w:tc>
          <w:tcPr>
            <w:tcW w:type="dxa" w:w="1656"/>
            <w:vAlign w:val="center"/>
          </w:tcPr>
          <w:p>
            <w:pPr>
              <w:spacing w:after="20"/>
            </w:pPr>
            <w:r>
              <w:rPr>
                <w:rFonts w:ascii="Arial" w:hAnsi="Arial"/>
                <w:sz w:val="12"/>
              </w:rPr>
              <w:t>11_final_prediction_pipeline.ipynb</w:t>
            </w:r>
          </w:p>
        </w:tc>
        <w:tc>
          <w:tcPr>
            <w:tcW w:type="dxa" w:w="1656"/>
            <w:vAlign w:val="center"/>
          </w:tcPr>
          <w:p>
            <w:pPr>
              <w:spacing w:after="20"/>
            </w:pPr>
            <w:r>
              <w:rPr>
                <w:rFonts w:ascii="Arial" w:hAnsi="Arial"/>
                <w:sz w:val="12"/>
              </w:rPr>
              <w:t>Initial audio, hybrid, and prediction pipeline</w:t>
            </w:r>
          </w:p>
        </w:tc>
        <w:tc>
          <w:tcPr>
            <w:tcW w:type="dxa" w:w="1656"/>
            <w:vAlign w:val="center"/>
          </w:tcPr>
          <w:p>
            <w:pPr>
              <w:spacing w:after="20"/>
            </w:pPr>
            <w:r>
              <w:rPr>
                <w:rFonts w:ascii="Arial" w:hAnsi="Arial"/>
                <w:sz w:val="12"/>
              </w:rPr>
              <w:t>1</w:t>
            </w:r>
          </w:p>
        </w:tc>
        <w:tc>
          <w:tcPr>
            <w:tcW w:type="dxa" w:w="1656"/>
            <w:vAlign w:val="center"/>
          </w:tcPr>
          <w:p>
            <w:pPr>
              <w:spacing w:after="20"/>
            </w:pPr>
            <w:r>
              <w:rPr>
                <w:rFonts w:ascii="Arial" w:hAnsi="Arial"/>
                <w:sz w:val="12"/>
              </w:rPr>
              <w:t>9</w:t>
            </w:r>
          </w:p>
        </w:tc>
        <w:tc>
          <w:tcPr>
            <w:tcW w:type="dxa" w:w="1656"/>
            <w:vAlign w:val="center"/>
          </w:tcPr>
          <w:p>
            <w:pPr>
              <w:spacing w:after="20"/>
            </w:pPr>
            <w:r>
              <w:rPr>
                <w:rFonts w:ascii="Arial" w:hAnsi="Arial"/>
                <w:sz w:val="12"/>
              </w:rPr>
              <w:t>5</w:t>
            </w:r>
          </w:p>
        </w:tc>
      </w:tr>
      <w:tr>
        <w:tc>
          <w:tcPr>
            <w:tcW w:type="dxa" w:w="1656"/>
            <w:vAlign w:val="center"/>
          </w:tcPr>
          <w:p>
            <w:pPr>
              <w:spacing w:after="20"/>
            </w:pPr>
            <w:r>
              <w:rPr>
                <w:rFonts w:ascii="Arial" w:hAnsi="Arial"/>
                <w:sz w:val="12"/>
              </w:rPr>
              <w:t>12</w:t>
            </w:r>
          </w:p>
        </w:tc>
        <w:tc>
          <w:tcPr>
            <w:tcW w:type="dxa" w:w="1656"/>
            <w:vAlign w:val="center"/>
          </w:tcPr>
          <w:p>
            <w:pPr>
              <w:spacing w:after="20"/>
            </w:pPr>
            <w:r>
              <w:rPr>
                <w:rFonts w:ascii="Arial" w:hAnsi="Arial"/>
                <w:sz w:val="12"/>
              </w:rPr>
              <w:t>12_expand_8genre_pilot_and_retrain.ipynb</w:t>
            </w:r>
          </w:p>
        </w:tc>
        <w:tc>
          <w:tcPr>
            <w:tcW w:type="dxa" w:w="1656"/>
            <w:vAlign w:val="center"/>
          </w:tcPr>
          <w:p>
            <w:pPr>
              <w:spacing w:after="20"/>
            </w:pPr>
            <w:r>
              <w:rPr>
                <w:rFonts w:ascii="Arial" w:hAnsi="Arial"/>
                <w:sz w:val="12"/>
              </w:rPr>
              <w:t>Expanded and 10-genre experimentation</w:t>
            </w:r>
          </w:p>
        </w:tc>
        <w:tc>
          <w:tcPr>
            <w:tcW w:type="dxa" w:w="1656"/>
            <w:vAlign w:val="center"/>
          </w:tcPr>
          <w:p>
            <w:pPr>
              <w:spacing w:after="20"/>
            </w:pPr>
            <w:r>
              <w:rPr>
                <w:rFonts w:ascii="Arial" w:hAnsi="Arial"/>
                <w:sz w:val="12"/>
              </w:rPr>
              <w:t>1</w:t>
            </w:r>
          </w:p>
        </w:tc>
        <w:tc>
          <w:tcPr>
            <w:tcW w:type="dxa" w:w="1656"/>
            <w:vAlign w:val="center"/>
          </w:tcPr>
          <w:p>
            <w:pPr>
              <w:spacing w:after="20"/>
            </w:pPr>
            <w:r>
              <w:rPr>
                <w:rFonts w:ascii="Arial" w:hAnsi="Arial"/>
                <w:sz w:val="12"/>
              </w:rPr>
              <w:t>11</w:t>
            </w:r>
          </w:p>
        </w:tc>
        <w:tc>
          <w:tcPr>
            <w:tcW w:type="dxa" w:w="1656"/>
            <w:vAlign w:val="center"/>
          </w:tcPr>
          <w:p>
            <w:pPr>
              <w:spacing w:after="20"/>
            </w:pPr>
            <w:r>
              <w:rPr>
                <w:rFonts w:ascii="Arial" w:hAnsi="Arial"/>
                <w:sz w:val="12"/>
              </w:rPr>
              <w:t>13</w:t>
            </w:r>
          </w:p>
        </w:tc>
      </w:tr>
      <w:tr>
        <w:tc>
          <w:tcPr>
            <w:tcW w:type="dxa" w:w="1656"/>
            <w:vAlign w:val="center"/>
          </w:tcPr>
          <w:p>
            <w:pPr>
              <w:spacing w:after="20"/>
            </w:pPr>
            <w:r>
              <w:rPr>
                <w:rFonts w:ascii="Arial" w:hAnsi="Arial"/>
                <w:sz w:val="12"/>
              </w:rPr>
              <w:t>13</w:t>
            </w:r>
          </w:p>
        </w:tc>
        <w:tc>
          <w:tcPr>
            <w:tcW w:type="dxa" w:w="1656"/>
            <w:vAlign w:val="center"/>
          </w:tcPr>
          <w:p>
            <w:pPr>
              <w:spacing w:after="20"/>
            </w:pPr>
            <w:r>
              <w:rPr>
                <w:rFonts w:ascii="Arial" w:hAnsi="Arial"/>
                <w:sz w:val="12"/>
              </w:rPr>
              <w:t>13_audio_cnn_expanded.ipynb</w:t>
            </w:r>
          </w:p>
        </w:tc>
        <w:tc>
          <w:tcPr>
            <w:tcW w:type="dxa" w:w="1656"/>
            <w:vAlign w:val="center"/>
          </w:tcPr>
          <w:p>
            <w:pPr>
              <w:spacing w:after="20"/>
            </w:pPr>
            <w:r>
              <w:rPr>
                <w:rFonts w:ascii="Arial" w:hAnsi="Arial"/>
                <w:sz w:val="12"/>
              </w:rPr>
              <w:t>Expanded and 10-genre experimentation</w:t>
            </w:r>
          </w:p>
        </w:tc>
        <w:tc>
          <w:tcPr>
            <w:tcW w:type="dxa" w:w="1656"/>
            <w:vAlign w:val="center"/>
          </w:tcPr>
          <w:p>
            <w:pPr>
              <w:spacing w:after="20"/>
            </w:pPr>
            <w:r>
              <w:rPr>
                <w:rFonts w:ascii="Arial" w:hAnsi="Arial"/>
                <w:sz w:val="12"/>
              </w:rPr>
              <w:t>1</w:t>
            </w:r>
          </w:p>
        </w:tc>
        <w:tc>
          <w:tcPr>
            <w:tcW w:type="dxa" w:w="1656"/>
            <w:vAlign w:val="center"/>
          </w:tcPr>
          <w:p>
            <w:pPr>
              <w:spacing w:after="20"/>
            </w:pPr>
            <w:r>
              <w:rPr>
                <w:rFonts w:ascii="Arial" w:hAnsi="Arial"/>
                <w:sz w:val="12"/>
              </w:rPr>
              <w:t>17</w:t>
            </w:r>
          </w:p>
        </w:tc>
        <w:tc>
          <w:tcPr>
            <w:tcW w:type="dxa" w:w="1656"/>
            <w:vAlign w:val="center"/>
          </w:tcPr>
          <w:p>
            <w:pPr>
              <w:spacing w:after="20"/>
            </w:pPr>
            <w:r>
              <w:rPr>
                <w:rFonts w:ascii="Arial" w:hAnsi="Arial"/>
                <w:sz w:val="12"/>
              </w:rPr>
              <w:t>22</w:t>
            </w:r>
          </w:p>
        </w:tc>
      </w:tr>
      <w:tr>
        <w:tc>
          <w:tcPr>
            <w:tcW w:type="dxa" w:w="1656"/>
            <w:vAlign w:val="center"/>
          </w:tcPr>
          <w:p>
            <w:pPr>
              <w:spacing w:after="20"/>
            </w:pPr>
            <w:r>
              <w:rPr>
                <w:rFonts w:ascii="Arial" w:hAnsi="Arial"/>
                <w:sz w:val="12"/>
              </w:rPr>
              <w:t>14</w:t>
            </w:r>
          </w:p>
        </w:tc>
        <w:tc>
          <w:tcPr>
            <w:tcW w:type="dxa" w:w="1656"/>
            <w:vAlign w:val="center"/>
          </w:tcPr>
          <w:p>
            <w:pPr>
              <w:spacing w:after="20"/>
            </w:pPr>
            <w:r>
              <w:rPr>
                <w:rFonts w:ascii="Arial" w:hAnsi="Arial"/>
                <w:sz w:val="12"/>
              </w:rPr>
              <w:t>14_structured_model_expanded.ipynb</w:t>
            </w:r>
          </w:p>
        </w:tc>
        <w:tc>
          <w:tcPr>
            <w:tcW w:type="dxa" w:w="1656"/>
            <w:vAlign w:val="center"/>
          </w:tcPr>
          <w:p>
            <w:pPr>
              <w:spacing w:after="20"/>
            </w:pPr>
            <w:r>
              <w:rPr>
                <w:rFonts w:ascii="Arial" w:hAnsi="Arial"/>
                <w:sz w:val="12"/>
              </w:rPr>
              <w:t>Expanded and 10-genre experimentation</w:t>
            </w:r>
          </w:p>
        </w:tc>
        <w:tc>
          <w:tcPr>
            <w:tcW w:type="dxa" w:w="1656"/>
            <w:vAlign w:val="center"/>
          </w:tcPr>
          <w:p>
            <w:pPr>
              <w:spacing w:after="20"/>
            </w:pPr>
            <w:r>
              <w:rPr>
                <w:rFonts w:ascii="Arial" w:hAnsi="Arial"/>
                <w:sz w:val="12"/>
              </w:rPr>
              <w:t>1</w:t>
            </w:r>
          </w:p>
        </w:tc>
        <w:tc>
          <w:tcPr>
            <w:tcW w:type="dxa" w:w="1656"/>
            <w:vAlign w:val="center"/>
          </w:tcPr>
          <w:p>
            <w:pPr>
              <w:spacing w:after="20"/>
            </w:pPr>
            <w:r>
              <w:rPr>
                <w:rFonts w:ascii="Arial" w:hAnsi="Arial"/>
                <w:sz w:val="12"/>
              </w:rPr>
              <w:t>19</w:t>
            </w:r>
          </w:p>
        </w:tc>
        <w:tc>
          <w:tcPr>
            <w:tcW w:type="dxa" w:w="1656"/>
            <w:vAlign w:val="center"/>
          </w:tcPr>
          <w:p>
            <w:pPr>
              <w:spacing w:after="20"/>
            </w:pPr>
            <w:r>
              <w:rPr>
                <w:rFonts w:ascii="Arial" w:hAnsi="Arial"/>
                <w:sz w:val="12"/>
              </w:rPr>
              <w:t>24</w:t>
            </w:r>
          </w:p>
        </w:tc>
      </w:tr>
      <w:tr>
        <w:tc>
          <w:tcPr>
            <w:tcW w:type="dxa" w:w="1656"/>
            <w:vAlign w:val="center"/>
          </w:tcPr>
          <w:p>
            <w:pPr>
              <w:spacing w:after="20"/>
            </w:pPr>
            <w:r>
              <w:rPr>
                <w:rFonts w:ascii="Arial" w:hAnsi="Arial"/>
                <w:sz w:val="12"/>
              </w:rPr>
              <w:t>15</w:t>
            </w:r>
          </w:p>
        </w:tc>
        <w:tc>
          <w:tcPr>
            <w:tcW w:type="dxa" w:w="1656"/>
            <w:vAlign w:val="center"/>
          </w:tcPr>
          <w:p>
            <w:pPr>
              <w:spacing w:after="20"/>
            </w:pPr>
            <w:r>
              <w:rPr>
                <w:rFonts w:ascii="Arial" w:hAnsi="Arial"/>
                <w:sz w:val="12"/>
              </w:rPr>
              <w:t>15_hybrid_fusion_expanded.ipynb</w:t>
            </w:r>
          </w:p>
        </w:tc>
        <w:tc>
          <w:tcPr>
            <w:tcW w:type="dxa" w:w="1656"/>
            <w:vAlign w:val="center"/>
          </w:tcPr>
          <w:p>
            <w:pPr>
              <w:spacing w:after="20"/>
            </w:pPr>
            <w:r>
              <w:rPr>
                <w:rFonts w:ascii="Arial" w:hAnsi="Arial"/>
                <w:sz w:val="12"/>
              </w:rPr>
              <w:t>Expanded and 10-genre experimentation</w:t>
            </w:r>
          </w:p>
        </w:tc>
        <w:tc>
          <w:tcPr>
            <w:tcW w:type="dxa" w:w="1656"/>
            <w:vAlign w:val="center"/>
          </w:tcPr>
          <w:p>
            <w:pPr>
              <w:spacing w:after="20"/>
            </w:pPr>
            <w:r>
              <w:rPr>
                <w:rFonts w:ascii="Arial" w:hAnsi="Arial"/>
                <w:sz w:val="12"/>
              </w:rPr>
              <w:t>1</w:t>
            </w:r>
          </w:p>
        </w:tc>
        <w:tc>
          <w:tcPr>
            <w:tcW w:type="dxa" w:w="1656"/>
            <w:vAlign w:val="center"/>
          </w:tcPr>
          <w:p>
            <w:pPr>
              <w:spacing w:after="20"/>
            </w:pPr>
            <w:r>
              <w:rPr>
                <w:rFonts w:ascii="Arial" w:hAnsi="Arial"/>
                <w:sz w:val="12"/>
              </w:rPr>
              <w:t>13</w:t>
            </w:r>
          </w:p>
        </w:tc>
        <w:tc>
          <w:tcPr>
            <w:tcW w:type="dxa" w:w="1656"/>
            <w:vAlign w:val="center"/>
          </w:tcPr>
          <w:p>
            <w:pPr>
              <w:spacing w:after="20"/>
            </w:pPr>
            <w:r>
              <w:rPr>
                <w:rFonts w:ascii="Arial" w:hAnsi="Arial"/>
                <w:sz w:val="12"/>
              </w:rPr>
              <w:t>13</w:t>
            </w:r>
          </w:p>
        </w:tc>
      </w:tr>
      <w:tr>
        <w:tc>
          <w:tcPr>
            <w:tcW w:type="dxa" w:w="1656"/>
            <w:vAlign w:val="center"/>
          </w:tcPr>
          <w:p>
            <w:pPr>
              <w:spacing w:after="20"/>
            </w:pPr>
            <w:r>
              <w:rPr>
                <w:rFonts w:ascii="Arial" w:hAnsi="Arial"/>
                <w:sz w:val="12"/>
              </w:rPr>
              <w:t>16</w:t>
            </w:r>
          </w:p>
        </w:tc>
        <w:tc>
          <w:tcPr>
            <w:tcW w:type="dxa" w:w="1656"/>
            <w:vAlign w:val="center"/>
          </w:tcPr>
          <w:p>
            <w:pPr>
              <w:spacing w:after="20"/>
            </w:pPr>
            <w:r>
              <w:rPr>
                <w:rFonts w:ascii="Arial" w:hAnsi="Arial"/>
                <w:sz w:val="12"/>
              </w:rPr>
              <w:t>16_build_10genre_pilot.ipynb</w:t>
            </w:r>
          </w:p>
        </w:tc>
        <w:tc>
          <w:tcPr>
            <w:tcW w:type="dxa" w:w="1656"/>
            <w:vAlign w:val="center"/>
          </w:tcPr>
          <w:p>
            <w:pPr>
              <w:spacing w:after="20"/>
            </w:pPr>
            <w:r>
              <w:rPr>
                <w:rFonts w:ascii="Arial" w:hAnsi="Arial"/>
                <w:sz w:val="12"/>
              </w:rPr>
              <w:t>Expanded and 10-genre experimentation</w:t>
            </w:r>
          </w:p>
        </w:tc>
        <w:tc>
          <w:tcPr>
            <w:tcW w:type="dxa" w:w="1656"/>
            <w:vAlign w:val="center"/>
          </w:tcPr>
          <w:p>
            <w:pPr>
              <w:spacing w:after="20"/>
            </w:pPr>
            <w:r>
              <w:rPr>
                <w:rFonts w:ascii="Arial" w:hAnsi="Arial"/>
                <w:sz w:val="12"/>
              </w:rPr>
              <w:t>1</w:t>
            </w:r>
          </w:p>
        </w:tc>
        <w:tc>
          <w:tcPr>
            <w:tcW w:type="dxa" w:w="1656"/>
            <w:vAlign w:val="center"/>
          </w:tcPr>
          <w:p>
            <w:pPr>
              <w:spacing w:after="20"/>
            </w:pPr>
            <w:r>
              <w:rPr>
                <w:rFonts w:ascii="Arial" w:hAnsi="Arial"/>
                <w:sz w:val="12"/>
              </w:rPr>
              <w:t>11</w:t>
            </w:r>
          </w:p>
        </w:tc>
        <w:tc>
          <w:tcPr>
            <w:tcW w:type="dxa" w:w="1656"/>
            <w:vAlign w:val="center"/>
          </w:tcPr>
          <w:p>
            <w:pPr>
              <w:spacing w:after="20"/>
            </w:pPr>
            <w:r>
              <w:rPr>
                <w:rFonts w:ascii="Arial" w:hAnsi="Arial"/>
                <w:sz w:val="12"/>
              </w:rPr>
              <w:t>13</w:t>
            </w:r>
          </w:p>
        </w:tc>
      </w:tr>
      <w:tr>
        <w:tc>
          <w:tcPr>
            <w:tcW w:type="dxa" w:w="1656"/>
            <w:vAlign w:val="center"/>
          </w:tcPr>
          <w:p>
            <w:pPr>
              <w:spacing w:after="20"/>
            </w:pPr>
            <w:r>
              <w:rPr>
                <w:rFonts w:ascii="Arial" w:hAnsi="Arial"/>
                <w:sz w:val="12"/>
              </w:rPr>
              <w:t>17</w:t>
            </w:r>
          </w:p>
        </w:tc>
        <w:tc>
          <w:tcPr>
            <w:tcW w:type="dxa" w:w="1656"/>
            <w:vAlign w:val="center"/>
          </w:tcPr>
          <w:p>
            <w:pPr>
              <w:spacing w:after="20"/>
            </w:pPr>
            <w:r>
              <w:rPr>
                <w:rFonts w:ascii="Arial" w:hAnsi="Arial"/>
                <w:sz w:val="12"/>
              </w:rPr>
              <w:t>17_audio_cnn_10genre.ipynb</w:t>
            </w:r>
          </w:p>
        </w:tc>
        <w:tc>
          <w:tcPr>
            <w:tcW w:type="dxa" w:w="1656"/>
            <w:vAlign w:val="center"/>
          </w:tcPr>
          <w:p>
            <w:pPr>
              <w:spacing w:after="20"/>
            </w:pPr>
            <w:r>
              <w:rPr>
                <w:rFonts w:ascii="Arial" w:hAnsi="Arial"/>
                <w:sz w:val="12"/>
              </w:rPr>
              <w:t>Expanded and 10-genre experimentation</w:t>
            </w:r>
          </w:p>
        </w:tc>
        <w:tc>
          <w:tcPr>
            <w:tcW w:type="dxa" w:w="1656"/>
            <w:vAlign w:val="center"/>
          </w:tcPr>
          <w:p>
            <w:pPr>
              <w:spacing w:after="20"/>
            </w:pPr>
            <w:r>
              <w:rPr>
                <w:rFonts w:ascii="Arial" w:hAnsi="Arial"/>
                <w:sz w:val="12"/>
              </w:rPr>
              <w:t>1</w:t>
            </w:r>
          </w:p>
        </w:tc>
        <w:tc>
          <w:tcPr>
            <w:tcW w:type="dxa" w:w="1656"/>
            <w:vAlign w:val="center"/>
          </w:tcPr>
          <w:p>
            <w:pPr>
              <w:spacing w:after="20"/>
            </w:pPr>
            <w:r>
              <w:rPr>
                <w:rFonts w:ascii="Arial" w:hAnsi="Arial"/>
                <w:sz w:val="12"/>
              </w:rPr>
              <w:t>18</w:t>
            </w:r>
          </w:p>
        </w:tc>
        <w:tc>
          <w:tcPr>
            <w:tcW w:type="dxa" w:w="1656"/>
            <w:vAlign w:val="center"/>
          </w:tcPr>
          <w:p>
            <w:pPr>
              <w:spacing w:after="20"/>
            </w:pPr>
            <w:r>
              <w:rPr>
                <w:rFonts w:ascii="Arial" w:hAnsi="Arial"/>
                <w:sz w:val="12"/>
              </w:rPr>
              <w:t>22</w:t>
            </w:r>
          </w:p>
        </w:tc>
      </w:tr>
      <w:tr>
        <w:tc>
          <w:tcPr>
            <w:tcW w:type="dxa" w:w="1656"/>
            <w:vAlign w:val="center"/>
          </w:tcPr>
          <w:p>
            <w:pPr>
              <w:spacing w:after="20"/>
            </w:pPr>
            <w:r>
              <w:rPr>
                <w:rFonts w:ascii="Arial" w:hAnsi="Arial"/>
                <w:sz w:val="12"/>
              </w:rPr>
              <w:t>18</w:t>
            </w:r>
          </w:p>
        </w:tc>
        <w:tc>
          <w:tcPr>
            <w:tcW w:type="dxa" w:w="1656"/>
            <w:vAlign w:val="center"/>
          </w:tcPr>
          <w:p>
            <w:pPr>
              <w:spacing w:after="20"/>
            </w:pPr>
            <w:r>
              <w:rPr>
                <w:rFonts w:ascii="Arial" w:hAnsi="Arial"/>
                <w:sz w:val="12"/>
              </w:rPr>
              <w:t>18_structured_model_10genre.ipynb</w:t>
            </w:r>
          </w:p>
        </w:tc>
        <w:tc>
          <w:tcPr>
            <w:tcW w:type="dxa" w:w="1656"/>
            <w:vAlign w:val="center"/>
          </w:tcPr>
          <w:p>
            <w:pPr>
              <w:spacing w:after="20"/>
            </w:pPr>
            <w:r>
              <w:rPr>
                <w:rFonts w:ascii="Arial" w:hAnsi="Arial"/>
                <w:sz w:val="12"/>
              </w:rPr>
              <w:t>Expanded and 10-genre experimentation</w:t>
            </w:r>
          </w:p>
        </w:tc>
        <w:tc>
          <w:tcPr>
            <w:tcW w:type="dxa" w:w="1656"/>
            <w:vAlign w:val="center"/>
          </w:tcPr>
          <w:p>
            <w:pPr>
              <w:spacing w:after="20"/>
            </w:pPr>
            <w:r>
              <w:rPr>
                <w:rFonts w:ascii="Arial" w:hAnsi="Arial"/>
                <w:sz w:val="12"/>
              </w:rPr>
              <w:t>1</w:t>
            </w:r>
          </w:p>
        </w:tc>
        <w:tc>
          <w:tcPr>
            <w:tcW w:type="dxa" w:w="1656"/>
            <w:vAlign w:val="center"/>
          </w:tcPr>
          <w:p>
            <w:pPr>
              <w:spacing w:after="20"/>
            </w:pPr>
            <w:r>
              <w:rPr>
                <w:rFonts w:ascii="Arial" w:hAnsi="Arial"/>
                <w:sz w:val="12"/>
              </w:rPr>
              <w:t>20</w:t>
            </w:r>
          </w:p>
        </w:tc>
        <w:tc>
          <w:tcPr>
            <w:tcW w:type="dxa" w:w="1656"/>
            <w:vAlign w:val="center"/>
          </w:tcPr>
          <w:p>
            <w:pPr>
              <w:spacing w:after="20"/>
            </w:pPr>
            <w:r>
              <w:rPr>
                <w:rFonts w:ascii="Arial" w:hAnsi="Arial"/>
                <w:sz w:val="12"/>
              </w:rPr>
              <w:t>23</w:t>
            </w:r>
          </w:p>
        </w:tc>
      </w:tr>
      <w:tr>
        <w:tc>
          <w:tcPr>
            <w:tcW w:type="dxa" w:w="1656"/>
            <w:vAlign w:val="center"/>
          </w:tcPr>
          <w:p>
            <w:pPr>
              <w:spacing w:after="20"/>
            </w:pPr>
            <w:r>
              <w:rPr>
                <w:rFonts w:ascii="Arial" w:hAnsi="Arial"/>
                <w:sz w:val="12"/>
              </w:rPr>
              <w:t>19</w:t>
            </w:r>
          </w:p>
        </w:tc>
        <w:tc>
          <w:tcPr>
            <w:tcW w:type="dxa" w:w="1656"/>
            <w:vAlign w:val="center"/>
          </w:tcPr>
          <w:p>
            <w:pPr>
              <w:spacing w:after="20"/>
            </w:pPr>
            <w:r>
              <w:rPr>
                <w:rFonts w:ascii="Arial" w:hAnsi="Arial"/>
                <w:sz w:val="12"/>
              </w:rPr>
              <w:t>19_hybrid_fusion_10genre.ipynb</w:t>
            </w:r>
          </w:p>
        </w:tc>
        <w:tc>
          <w:tcPr>
            <w:tcW w:type="dxa" w:w="1656"/>
            <w:vAlign w:val="center"/>
          </w:tcPr>
          <w:p>
            <w:pPr>
              <w:spacing w:after="20"/>
            </w:pPr>
            <w:r>
              <w:rPr>
                <w:rFonts w:ascii="Arial" w:hAnsi="Arial"/>
                <w:sz w:val="12"/>
              </w:rPr>
              <w:t>Expanded and 10-genre experimentation</w:t>
            </w:r>
          </w:p>
        </w:tc>
        <w:tc>
          <w:tcPr>
            <w:tcW w:type="dxa" w:w="1656"/>
            <w:vAlign w:val="center"/>
          </w:tcPr>
          <w:p>
            <w:pPr>
              <w:spacing w:after="20"/>
            </w:pPr>
            <w:r>
              <w:rPr>
                <w:rFonts w:ascii="Arial" w:hAnsi="Arial"/>
                <w:sz w:val="12"/>
              </w:rPr>
              <w:t>1</w:t>
            </w:r>
          </w:p>
        </w:tc>
        <w:tc>
          <w:tcPr>
            <w:tcW w:type="dxa" w:w="1656"/>
            <w:vAlign w:val="center"/>
          </w:tcPr>
          <w:p>
            <w:pPr>
              <w:spacing w:after="20"/>
            </w:pPr>
            <w:r>
              <w:rPr>
                <w:rFonts w:ascii="Arial" w:hAnsi="Arial"/>
                <w:sz w:val="12"/>
              </w:rPr>
              <w:t>14</w:t>
            </w:r>
          </w:p>
        </w:tc>
        <w:tc>
          <w:tcPr>
            <w:tcW w:type="dxa" w:w="1656"/>
            <w:vAlign w:val="center"/>
          </w:tcPr>
          <w:p>
            <w:pPr>
              <w:spacing w:after="20"/>
            </w:pPr>
            <w:r>
              <w:rPr>
                <w:rFonts w:ascii="Arial" w:hAnsi="Arial"/>
                <w:sz w:val="12"/>
              </w:rPr>
              <w:t>15</w:t>
            </w:r>
          </w:p>
        </w:tc>
      </w:tr>
      <w:tr>
        <w:tc>
          <w:tcPr>
            <w:tcW w:type="dxa" w:w="1656"/>
            <w:vAlign w:val="center"/>
          </w:tcPr>
          <w:p>
            <w:pPr>
              <w:spacing w:after="20"/>
            </w:pPr>
            <w:r>
              <w:rPr>
                <w:rFonts w:ascii="Arial" w:hAnsi="Arial"/>
                <w:sz w:val="12"/>
              </w:rPr>
              <w:t>20</w:t>
            </w:r>
          </w:p>
        </w:tc>
        <w:tc>
          <w:tcPr>
            <w:tcW w:type="dxa" w:w="1656"/>
            <w:vAlign w:val="center"/>
          </w:tcPr>
          <w:p>
            <w:pPr>
              <w:spacing w:after="20"/>
            </w:pPr>
            <w:r>
              <w:rPr>
                <w:rFonts w:ascii="Arial" w:hAnsi="Arial"/>
                <w:sz w:val="12"/>
              </w:rPr>
              <w:t>20_final_prediction_pipeline_10genre.ipynb</w:t>
            </w:r>
          </w:p>
        </w:tc>
        <w:tc>
          <w:tcPr>
            <w:tcW w:type="dxa" w:w="1656"/>
            <w:vAlign w:val="center"/>
          </w:tcPr>
          <w:p>
            <w:pPr>
              <w:spacing w:after="20"/>
            </w:pPr>
            <w:r>
              <w:rPr>
                <w:rFonts w:ascii="Arial" w:hAnsi="Arial"/>
                <w:sz w:val="12"/>
              </w:rPr>
              <w:t>Expanded and 10-genre experimentation</w:t>
            </w:r>
          </w:p>
        </w:tc>
        <w:tc>
          <w:tcPr>
            <w:tcW w:type="dxa" w:w="1656"/>
            <w:vAlign w:val="center"/>
          </w:tcPr>
          <w:p>
            <w:pPr>
              <w:spacing w:after="20"/>
            </w:pPr>
            <w:r>
              <w:rPr>
                <w:rFonts w:ascii="Arial" w:hAnsi="Arial"/>
                <w:sz w:val="12"/>
              </w:rPr>
              <w:t>1</w:t>
            </w:r>
          </w:p>
        </w:tc>
        <w:tc>
          <w:tcPr>
            <w:tcW w:type="dxa" w:w="1656"/>
            <w:vAlign w:val="center"/>
          </w:tcPr>
          <w:p>
            <w:pPr>
              <w:spacing w:after="20"/>
            </w:pPr>
            <w:r>
              <w:rPr>
                <w:rFonts w:ascii="Arial" w:hAnsi="Arial"/>
                <w:sz w:val="12"/>
              </w:rPr>
              <w:t>9</w:t>
            </w:r>
          </w:p>
        </w:tc>
        <w:tc>
          <w:tcPr>
            <w:tcW w:type="dxa" w:w="1656"/>
            <w:vAlign w:val="center"/>
          </w:tcPr>
          <w:p>
            <w:pPr>
              <w:spacing w:after="20"/>
            </w:pPr>
            <w:r>
              <w:rPr>
                <w:rFonts w:ascii="Arial" w:hAnsi="Arial"/>
                <w:sz w:val="12"/>
              </w:rPr>
              <w:t>5</w:t>
            </w:r>
          </w:p>
        </w:tc>
      </w:tr>
      <w:tr>
        <w:tc>
          <w:tcPr>
            <w:tcW w:type="dxa" w:w="1656"/>
            <w:vAlign w:val="center"/>
          </w:tcPr>
          <w:p>
            <w:pPr>
              <w:spacing w:after="20"/>
            </w:pPr>
            <w:r>
              <w:rPr>
                <w:rFonts w:ascii="Arial" w:hAnsi="Arial"/>
                <w:sz w:val="12"/>
              </w:rPr>
              <w:t>21</w:t>
            </w:r>
          </w:p>
        </w:tc>
        <w:tc>
          <w:tcPr>
            <w:tcW w:type="dxa" w:w="1656"/>
            <w:vAlign w:val="center"/>
          </w:tcPr>
          <w:p>
            <w:pPr>
              <w:spacing w:after="20"/>
            </w:pPr>
            <w:r>
              <w:rPr>
                <w:rFonts w:ascii="Arial" w:hAnsi="Arial"/>
                <w:sz w:val="12"/>
              </w:rPr>
              <w:t>21_batch_inference_demo_10genre.ipynb</w:t>
            </w:r>
          </w:p>
        </w:tc>
        <w:tc>
          <w:tcPr>
            <w:tcW w:type="dxa" w:w="1656"/>
            <w:vAlign w:val="center"/>
          </w:tcPr>
          <w:p>
            <w:pPr>
              <w:spacing w:after="20"/>
            </w:pPr>
            <w:r>
              <w:rPr>
                <w:rFonts w:ascii="Arial" w:hAnsi="Arial"/>
                <w:sz w:val="12"/>
              </w:rPr>
              <w:t>Expanded and 10-genre experimentation</w:t>
            </w:r>
          </w:p>
        </w:tc>
        <w:tc>
          <w:tcPr>
            <w:tcW w:type="dxa" w:w="1656"/>
            <w:vAlign w:val="center"/>
          </w:tcPr>
          <w:p>
            <w:pPr>
              <w:spacing w:after="20"/>
            </w:pPr>
            <w:r>
              <w:rPr>
                <w:rFonts w:ascii="Arial" w:hAnsi="Arial"/>
                <w:sz w:val="12"/>
              </w:rPr>
              <w:t>1</w:t>
            </w:r>
          </w:p>
        </w:tc>
        <w:tc>
          <w:tcPr>
            <w:tcW w:type="dxa" w:w="1656"/>
            <w:vAlign w:val="center"/>
          </w:tcPr>
          <w:p>
            <w:pPr>
              <w:spacing w:after="20"/>
            </w:pPr>
            <w:r>
              <w:rPr>
                <w:rFonts w:ascii="Arial" w:hAnsi="Arial"/>
                <w:sz w:val="12"/>
              </w:rPr>
              <w:t>9</w:t>
            </w:r>
          </w:p>
        </w:tc>
        <w:tc>
          <w:tcPr>
            <w:tcW w:type="dxa" w:w="1656"/>
            <w:vAlign w:val="center"/>
          </w:tcPr>
          <w:p>
            <w:pPr>
              <w:spacing w:after="20"/>
            </w:pPr>
            <w:r>
              <w:rPr>
                <w:rFonts w:ascii="Arial" w:hAnsi="Arial"/>
                <w:sz w:val="12"/>
              </w:rPr>
              <w:t>14</w:t>
            </w:r>
          </w:p>
        </w:tc>
      </w:tr>
      <w:tr>
        <w:tc>
          <w:tcPr>
            <w:tcW w:type="dxa" w:w="1656"/>
            <w:vAlign w:val="center"/>
          </w:tcPr>
          <w:p>
            <w:pPr>
              <w:spacing w:after="20"/>
            </w:pPr>
            <w:r>
              <w:rPr>
                <w:rFonts w:ascii="Arial" w:hAnsi="Arial"/>
                <w:sz w:val="12"/>
              </w:rPr>
              <w:t>22</w:t>
            </w:r>
          </w:p>
        </w:tc>
        <w:tc>
          <w:tcPr>
            <w:tcW w:type="dxa" w:w="1656"/>
            <w:vAlign w:val="center"/>
          </w:tcPr>
          <w:p>
            <w:pPr>
              <w:spacing w:after="20"/>
            </w:pPr>
            <w:r>
              <w:rPr>
                <w:rFonts w:ascii="Arial" w:hAnsi="Arial"/>
                <w:sz w:val="12"/>
              </w:rPr>
              <w:t>22_final_results_summary_and_comparison.ipynb</w:t>
            </w:r>
          </w:p>
        </w:tc>
        <w:tc>
          <w:tcPr>
            <w:tcW w:type="dxa" w:w="1656"/>
            <w:vAlign w:val="center"/>
          </w:tcPr>
          <w:p>
            <w:pPr>
              <w:spacing w:after="20"/>
            </w:pPr>
            <w:r>
              <w:rPr>
                <w:rFonts w:ascii="Arial" w:hAnsi="Arial"/>
                <w:sz w:val="12"/>
              </w:rPr>
              <w:t>Expanded and 10-genre experimentation</w:t>
            </w:r>
          </w:p>
        </w:tc>
        <w:tc>
          <w:tcPr>
            <w:tcW w:type="dxa" w:w="1656"/>
            <w:vAlign w:val="center"/>
          </w:tcPr>
          <w:p>
            <w:pPr>
              <w:spacing w:after="20"/>
            </w:pPr>
            <w:r>
              <w:rPr>
                <w:rFonts w:ascii="Arial" w:hAnsi="Arial"/>
                <w:sz w:val="12"/>
              </w:rPr>
              <w:t>1</w:t>
            </w:r>
          </w:p>
        </w:tc>
        <w:tc>
          <w:tcPr>
            <w:tcW w:type="dxa" w:w="1656"/>
            <w:vAlign w:val="center"/>
          </w:tcPr>
          <w:p>
            <w:pPr>
              <w:spacing w:after="20"/>
            </w:pPr>
            <w:r>
              <w:rPr>
                <w:rFonts w:ascii="Arial" w:hAnsi="Arial"/>
                <w:sz w:val="12"/>
              </w:rPr>
              <w:t>9</w:t>
            </w:r>
          </w:p>
        </w:tc>
        <w:tc>
          <w:tcPr>
            <w:tcW w:type="dxa" w:w="1656"/>
            <w:vAlign w:val="center"/>
          </w:tcPr>
          <w:p>
            <w:pPr>
              <w:spacing w:after="20"/>
            </w:pPr>
            <w:r>
              <w:rPr>
                <w:rFonts w:ascii="Arial" w:hAnsi="Arial"/>
                <w:sz w:val="12"/>
              </w:rPr>
              <w:t>13</w:t>
            </w:r>
          </w:p>
        </w:tc>
      </w:tr>
      <w:tr>
        <w:tc>
          <w:tcPr>
            <w:tcW w:type="dxa" w:w="1656"/>
            <w:vAlign w:val="center"/>
          </w:tcPr>
          <w:p>
            <w:pPr>
              <w:spacing w:after="20"/>
            </w:pPr>
            <w:r>
              <w:rPr>
                <w:rFonts w:ascii="Arial" w:hAnsi="Arial"/>
                <w:sz w:val="12"/>
              </w:rPr>
              <w:t>23</w:t>
            </w:r>
          </w:p>
        </w:tc>
        <w:tc>
          <w:tcPr>
            <w:tcW w:type="dxa" w:w="1656"/>
            <w:vAlign w:val="center"/>
          </w:tcPr>
          <w:p>
            <w:pPr>
              <w:spacing w:after="20"/>
            </w:pPr>
            <w:r>
              <w:rPr>
                <w:rFonts w:ascii="Arial" w:hAnsi="Arial"/>
                <w:sz w:val="12"/>
              </w:rPr>
              <w:t>23_full_genre_inventory_and_multilabel_prep.ipynb</w:t>
            </w:r>
          </w:p>
        </w:tc>
        <w:tc>
          <w:tcPr>
            <w:tcW w:type="dxa" w:w="1656"/>
            <w:vAlign w:val="center"/>
          </w:tcPr>
          <w:p>
            <w:pPr>
              <w:spacing w:after="20"/>
            </w:pPr>
            <w:r>
              <w:rPr>
                <w:rFonts w:ascii="Arial" w:hAnsi="Arial"/>
                <w:sz w:val="12"/>
              </w:rPr>
              <w:t>Candidate-150 multi-label development</w:t>
            </w:r>
          </w:p>
        </w:tc>
        <w:tc>
          <w:tcPr>
            <w:tcW w:type="dxa" w:w="1656"/>
            <w:vAlign w:val="center"/>
          </w:tcPr>
          <w:p>
            <w:pPr>
              <w:spacing w:after="20"/>
            </w:pPr>
            <w:r>
              <w:rPr>
                <w:rFonts w:ascii="Arial" w:hAnsi="Arial"/>
                <w:sz w:val="12"/>
              </w:rPr>
              <w:t>1</w:t>
            </w:r>
          </w:p>
        </w:tc>
        <w:tc>
          <w:tcPr>
            <w:tcW w:type="dxa" w:w="1656"/>
            <w:vAlign w:val="center"/>
          </w:tcPr>
          <w:p>
            <w:pPr>
              <w:spacing w:after="20"/>
            </w:pPr>
            <w:r>
              <w:rPr>
                <w:rFonts w:ascii="Arial" w:hAnsi="Arial"/>
                <w:sz w:val="12"/>
              </w:rPr>
              <w:t>13</w:t>
            </w:r>
          </w:p>
        </w:tc>
        <w:tc>
          <w:tcPr>
            <w:tcW w:type="dxa" w:w="1656"/>
            <w:vAlign w:val="center"/>
          </w:tcPr>
          <w:p>
            <w:pPr>
              <w:spacing w:after="20"/>
            </w:pPr>
            <w:r>
              <w:rPr>
                <w:rFonts w:ascii="Arial" w:hAnsi="Arial"/>
                <w:sz w:val="12"/>
              </w:rPr>
              <w:t>17</w:t>
            </w:r>
          </w:p>
        </w:tc>
      </w:tr>
      <w:tr>
        <w:tc>
          <w:tcPr>
            <w:tcW w:type="dxa" w:w="1656"/>
            <w:vAlign w:val="center"/>
          </w:tcPr>
          <w:p>
            <w:pPr>
              <w:spacing w:after="20"/>
            </w:pPr>
            <w:r>
              <w:rPr>
                <w:rFonts w:ascii="Arial" w:hAnsi="Arial"/>
                <w:sz w:val="12"/>
              </w:rPr>
              <w:t>24</w:t>
            </w:r>
          </w:p>
        </w:tc>
        <w:tc>
          <w:tcPr>
            <w:tcW w:type="dxa" w:w="1656"/>
            <w:vAlign w:val="center"/>
          </w:tcPr>
          <w:p>
            <w:pPr>
              <w:spacing w:after="20"/>
            </w:pPr>
            <w:r>
              <w:rPr>
                <w:rFonts w:ascii="Arial" w:hAnsi="Arial"/>
                <w:sz w:val="12"/>
              </w:rPr>
              <w:t>24_multilabel_target_matrix_and_split_audit.ipynb</w:t>
            </w:r>
          </w:p>
        </w:tc>
        <w:tc>
          <w:tcPr>
            <w:tcW w:type="dxa" w:w="1656"/>
            <w:vAlign w:val="center"/>
          </w:tcPr>
          <w:p>
            <w:pPr>
              <w:spacing w:after="20"/>
            </w:pPr>
            <w:r>
              <w:rPr>
                <w:rFonts w:ascii="Arial" w:hAnsi="Arial"/>
                <w:sz w:val="12"/>
              </w:rPr>
              <w:t>Candidate-150 multi-label development</w:t>
            </w:r>
          </w:p>
        </w:tc>
        <w:tc>
          <w:tcPr>
            <w:tcW w:type="dxa" w:w="1656"/>
            <w:vAlign w:val="center"/>
          </w:tcPr>
          <w:p>
            <w:pPr>
              <w:spacing w:after="20"/>
            </w:pPr>
            <w:r>
              <w:rPr>
                <w:rFonts w:ascii="Arial" w:hAnsi="Arial"/>
                <w:sz w:val="12"/>
              </w:rPr>
              <w:t>1</w:t>
            </w:r>
          </w:p>
        </w:tc>
        <w:tc>
          <w:tcPr>
            <w:tcW w:type="dxa" w:w="1656"/>
            <w:vAlign w:val="center"/>
          </w:tcPr>
          <w:p>
            <w:pPr>
              <w:spacing w:after="20"/>
            </w:pPr>
            <w:r>
              <w:rPr>
                <w:rFonts w:ascii="Arial" w:hAnsi="Arial"/>
                <w:sz w:val="12"/>
              </w:rPr>
              <w:t>14</w:t>
            </w:r>
          </w:p>
        </w:tc>
        <w:tc>
          <w:tcPr>
            <w:tcW w:type="dxa" w:w="1656"/>
            <w:vAlign w:val="center"/>
          </w:tcPr>
          <w:p>
            <w:pPr>
              <w:spacing w:after="20"/>
            </w:pPr>
            <w:r>
              <w:rPr>
                <w:rFonts w:ascii="Arial" w:hAnsi="Arial"/>
                <w:sz w:val="12"/>
              </w:rPr>
              <w:t>24</w:t>
            </w:r>
          </w:p>
        </w:tc>
      </w:tr>
      <w:tr>
        <w:tc>
          <w:tcPr>
            <w:tcW w:type="dxa" w:w="1656"/>
            <w:vAlign w:val="center"/>
          </w:tcPr>
          <w:p>
            <w:pPr>
              <w:spacing w:after="20"/>
            </w:pPr>
            <w:r>
              <w:rPr>
                <w:rFonts w:ascii="Arial" w:hAnsi="Arial"/>
                <w:sz w:val="12"/>
              </w:rPr>
              <w:t>25</w:t>
            </w:r>
          </w:p>
        </w:tc>
        <w:tc>
          <w:tcPr>
            <w:tcW w:type="dxa" w:w="1656"/>
            <w:vAlign w:val="center"/>
          </w:tcPr>
          <w:p>
            <w:pPr>
              <w:spacing w:after="20"/>
            </w:pPr>
            <w:r>
              <w:rPr>
                <w:rFonts w:ascii="Arial" w:hAnsi="Arial"/>
                <w:sz w:val="12"/>
              </w:rPr>
              <w:t>25_mongodb_ingestion_for_multilabel_phase.ipynb</w:t>
            </w:r>
          </w:p>
        </w:tc>
        <w:tc>
          <w:tcPr>
            <w:tcW w:type="dxa" w:w="1656"/>
            <w:vAlign w:val="center"/>
          </w:tcPr>
          <w:p>
            <w:pPr>
              <w:spacing w:after="20"/>
            </w:pPr>
            <w:r>
              <w:rPr>
                <w:rFonts w:ascii="Arial" w:hAnsi="Arial"/>
                <w:sz w:val="12"/>
              </w:rPr>
              <w:t>Candidate-150 multi-label development</w:t>
            </w:r>
          </w:p>
        </w:tc>
        <w:tc>
          <w:tcPr>
            <w:tcW w:type="dxa" w:w="1656"/>
            <w:vAlign w:val="center"/>
          </w:tcPr>
          <w:p>
            <w:pPr>
              <w:spacing w:after="20"/>
            </w:pPr>
            <w:r>
              <w:rPr>
                <w:rFonts w:ascii="Arial" w:hAnsi="Arial"/>
                <w:sz w:val="12"/>
              </w:rPr>
              <w:t>1</w:t>
            </w:r>
          </w:p>
        </w:tc>
        <w:tc>
          <w:tcPr>
            <w:tcW w:type="dxa" w:w="1656"/>
            <w:vAlign w:val="center"/>
          </w:tcPr>
          <w:p>
            <w:pPr>
              <w:spacing w:after="20"/>
            </w:pPr>
            <w:r>
              <w:rPr>
                <w:rFonts w:ascii="Arial" w:hAnsi="Arial"/>
                <w:sz w:val="12"/>
              </w:rPr>
              <w:t>14</w:t>
            </w:r>
          </w:p>
        </w:tc>
        <w:tc>
          <w:tcPr>
            <w:tcW w:type="dxa" w:w="1656"/>
            <w:vAlign w:val="center"/>
          </w:tcPr>
          <w:p>
            <w:pPr>
              <w:spacing w:after="20"/>
            </w:pPr>
            <w:r>
              <w:rPr>
                <w:rFonts w:ascii="Arial" w:hAnsi="Arial"/>
                <w:sz w:val="12"/>
              </w:rPr>
              <w:t>16</w:t>
            </w:r>
          </w:p>
        </w:tc>
      </w:tr>
      <w:tr>
        <w:tc>
          <w:tcPr>
            <w:tcW w:type="dxa" w:w="1656"/>
            <w:vAlign w:val="center"/>
          </w:tcPr>
          <w:p>
            <w:pPr>
              <w:spacing w:after="20"/>
            </w:pPr>
            <w:r>
              <w:rPr>
                <w:rFonts w:ascii="Arial" w:hAnsi="Arial"/>
                <w:sz w:val="12"/>
              </w:rPr>
              <w:t>26</w:t>
            </w:r>
          </w:p>
        </w:tc>
        <w:tc>
          <w:tcPr>
            <w:tcW w:type="dxa" w:w="1656"/>
            <w:vAlign w:val="center"/>
          </w:tcPr>
          <w:p>
            <w:pPr>
              <w:spacing w:after="20"/>
            </w:pPr>
            <w:r>
              <w:rPr>
                <w:rFonts w:ascii="Arial" w:hAnsi="Arial"/>
                <w:sz w:val="12"/>
              </w:rPr>
              <w:t>26_structured_multilabel_baseline_candidate150.ipynb</w:t>
            </w:r>
          </w:p>
        </w:tc>
        <w:tc>
          <w:tcPr>
            <w:tcW w:type="dxa" w:w="1656"/>
            <w:vAlign w:val="center"/>
          </w:tcPr>
          <w:p>
            <w:pPr>
              <w:spacing w:after="20"/>
            </w:pPr>
            <w:r>
              <w:rPr>
                <w:rFonts w:ascii="Arial" w:hAnsi="Arial"/>
                <w:sz w:val="12"/>
              </w:rPr>
              <w:t>Candidate-150 multi-label development</w:t>
            </w:r>
          </w:p>
        </w:tc>
        <w:tc>
          <w:tcPr>
            <w:tcW w:type="dxa" w:w="1656"/>
            <w:vAlign w:val="center"/>
          </w:tcPr>
          <w:p>
            <w:pPr>
              <w:spacing w:after="20"/>
            </w:pPr>
            <w:r>
              <w:rPr>
                <w:rFonts w:ascii="Arial" w:hAnsi="Arial"/>
                <w:sz w:val="12"/>
              </w:rPr>
              <w:t>1</w:t>
            </w:r>
          </w:p>
        </w:tc>
        <w:tc>
          <w:tcPr>
            <w:tcW w:type="dxa" w:w="1656"/>
            <w:vAlign w:val="center"/>
          </w:tcPr>
          <w:p>
            <w:pPr>
              <w:spacing w:after="20"/>
            </w:pPr>
            <w:r>
              <w:rPr>
                <w:rFonts w:ascii="Arial" w:hAnsi="Arial"/>
                <w:sz w:val="12"/>
              </w:rPr>
              <w:t>19</w:t>
            </w:r>
          </w:p>
        </w:tc>
        <w:tc>
          <w:tcPr>
            <w:tcW w:type="dxa" w:w="1656"/>
            <w:vAlign w:val="center"/>
          </w:tcPr>
          <w:p>
            <w:pPr>
              <w:spacing w:after="20"/>
            </w:pPr>
            <w:r>
              <w:rPr>
                <w:rFonts w:ascii="Arial" w:hAnsi="Arial"/>
                <w:sz w:val="12"/>
              </w:rPr>
              <w:t>22</w:t>
            </w:r>
          </w:p>
        </w:tc>
      </w:tr>
      <w:tr>
        <w:tc>
          <w:tcPr>
            <w:tcW w:type="dxa" w:w="1656"/>
            <w:vAlign w:val="center"/>
          </w:tcPr>
          <w:p>
            <w:pPr>
              <w:spacing w:after="20"/>
            </w:pPr>
            <w:r>
              <w:rPr>
                <w:rFonts w:ascii="Arial" w:hAnsi="Arial"/>
                <w:sz w:val="12"/>
              </w:rPr>
              <w:t>27</w:t>
            </w:r>
          </w:p>
        </w:tc>
        <w:tc>
          <w:tcPr>
            <w:tcW w:type="dxa" w:w="1656"/>
            <w:vAlign w:val="center"/>
          </w:tcPr>
          <w:p>
            <w:pPr>
              <w:spacing w:after="20"/>
            </w:pPr>
            <w:r>
              <w:rPr>
                <w:rFonts w:ascii="Arial" w:hAnsi="Arial"/>
                <w:sz w:val="12"/>
              </w:rPr>
              <w:t>27_structured_multilabel_threshold_tuning_candidate150.ipynb</w:t>
            </w:r>
          </w:p>
        </w:tc>
        <w:tc>
          <w:tcPr>
            <w:tcW w:type="dxa" w:w="1656"/>
            <w:vAlign w:val="center"/>
          </w:tcPr>
          <w:p>
            <w:pPr>
              <w:spacing w:after="20"/>
            </w:pPr>
            <w:r>
              <w:rPr>
                <w:rFonts w:ascii="Arial" w:hAnsi="Arial"/>
                <w:sz w:val="12"/>
              </w:rPr>
              <w:t>Candidate-150 multi-label development</w:t>
            </w:r>
          </w:p>
        </w:tc>
        <w:tc>
          <w:tcPr>
            <w:tcW w:type="dxa" w:w="1656"/>
            <w:vAlign w:val="center"/>
          </w:tcPr>
          <w:p>
            <w:pPr>
              <w:spacing w:after="20"/>
            </w:pPr>
            <w:r>
              <w:rPr>
                <w:rFonts w:ascii="Arial" w:hAnsi="Arial"/>
                <w:sz w:val="12"/>
              </w:rPr>
              <w:t>1</w:t>
            </w:r>
          </w:p>
        </w:tc>
        <w:tc>
          <w:tcPr>
            <w:tcW w:type="dxa" w:w="1656"/>
            <w:vAlign w:val="center"/>
          </w:tcPr>
          <w:p>
            <w:pPr>
              <w:spacing w:after="20"/>
            </w:pPr>
            <w:r>
              <w:rPr>
                <w:rFonts w:ascii="Arial" w:hAnsi="Arial"/>
                <w:sz w:val="12"/>
              </w:rPr>
              <w:t>14</w:t>
            </w:r>
          </w:p>
        </w:tc>
        <w:tc>
          <w:tcPr>
            <w:tcW w:type="dxa" w:w="1656"/>
            <w:vAlign w:val="center"/>
          </w:tcPr>
          <w:p>
            <w:pPr>
              <w:spacing w:after="20"/>
            </w:pPr>
            <w:r>
              <w:rPr>
                <w:rFonts w:ascii="Arial" w:hAnsi="Arial"/>
                <w:sz w:val="12"/>
              </w:rPr>
              <w:t>15</w:t>
            </w:r>
          </w:p>
        </w:tc>
      </w:tr>
      <w:tr>
        <w:tc>
          <w:tcPr>
            <w:tcW w:type="dxa" w:w="1656"/>
            <w:vAlign w:val="center"/>
          </w:tcPr>
          <w:p>
            <w:pPr>
              <w:spacing w:after="20"/>
            </w:pPr>
            <w:r>
              <w:rPr>
                <w:rFonts w:ascii="Arial" w:hAnsi="Arial"/>
                <w:sz w:val="12"/>
              </w:rPr>
              <w:t>28</w:t>
            </w:r>
          </w:p>
        </w:tc>
        <w:tc>
          <w:tcPr>
            <w:tcW w:type="dxa" w:w="1656"/>
            <w:vAlign w:val="center"/>
          </w:tcPr>
          <w:p>
            <w:pPr>
              <w:spacing w:after="20"/>
            </w:pPr>
            <w:r>
              <w:rPr>
                <w:rFonts w:ascii="Arial" w:hAnsi="Arial"/>
                <w:sz w:val="12"/>
              </w:rPr>
              <w:t>28_structured_multilabel_per_label_thresholds_and_topk_decoding.ipynb</w:t>
            </w:r>
          </w:p>
        </w:tc>
        <w:tc>
          <w:tcPr>
            <w:tcW w:type="dxa" w:w="1656"/>
            <w:vAlign w:val="center"/>
          </w:tcPr>
          <w:p>
            <w:pPr>
              <w:spacing w:after="20"/>
            </w:pPr>
            <w:r>
              <w:rPr>
                <w:rFonts w:ascii="Arial" w:hAnsi="Arial"/>
                <w:sz w:val="12"/>
              </w:rPr>
              <w:t>Candidate-150 multi-label development</w:t>
            </w:r>
          </w:p>
        </w:tc>
        <w:tc>
          <w:tcPr>
            <w:tcW w:type="dxa" w:w="1656"/>
            <w:vAlign w:val="center"/>
          </w:tcPr>
          <w:p>
            <w:pPr>
              <w:spacing w:after="20"/>
            </w:pPr>
            <w:r>
              <w:rPr>
                <w:rFonts w:ascii="Arial" w:hAnsi="Arial"/>
                <w:sz w:val="12"/>
              </w:rPr>
              <w:t>1</w:t>
            </w:r>
          </w:p>
        </w:tc>
        <w:tc>
          <w:tcPr>
            <w:tcW w:type="dxa" w:w="1656"/>
            <w:vAlign w:val="center"/>
          </w:tcPr>
          <w:p>
            <w:pPr>
              <w:spacing w:after="20"/>
            </w:pPr>
            <w:r>
              <w:rPr>
                <w:rFonts w:ascii="Arial" w:hAnsi="Arial"/>
                <w:sz w:val="12"/>
              </w:rPr>
              <w:t>17</w:t>
            </w:r>
          </w:p>
        </w:tc>
        <w:tc>
          <w:tcPr>
            <w:tcW w:type="dxa" w:w="1656"/>
            <w:vAlign w:val="center"/>
          </w:tcPr>
          <w:p>
            <w:pPr>
              <w:spacing w:after="20"/>
            </w:pPr>
            <w:r>
              <w:rPr>
                <w:rFonts w:ascii="Arial" w:hAnsi="Arial"/>
                <w:sz w:val="12"/>
              </w:rPr>
              <w:t>18</w:t>
            </w:r>
          </w:p>
        </w:tc>
      </w:tr>
      <w:tr>
        <w:tc>
          <w:tcPr>
            <w:tcW w:type="dxa" w:w="1656"/>
            <w:vAlign w:val="center"/>
          </w:tcPr>
          <w:p>
            <w:pPr>
              <w:spacing w:after="20"/>
            </w:pPr>
            <w:r>
              <w:rPr>
                <w:rFonts w:ascii="Arial" w:hAnsi="Arial"/>
                <w:sz w:val="12"/>
              </w:rPr>
              <w:t>29</w:t>
            </w:r>
          </w:p>
        </w:tc>
        <w:tc>
          <w:tcPr>
            <w:tcW w:type="dxa" w:w="1656"/>
            <w:vAlign w:val="center"/>
          </w:tcPr>
          <w:p>
            <w:pPr>
              <w:spacing w:after="20"/>
            </w:pPr>
            <w:r>
              <w:rPr>
                <w:rFonts w:ascii="Arial" w:hAnsi="Arial"/>
                <w:sz w:val="12"/>
              </w:rPr>
              <w:t>29_structured_multilabel_final_upgrade_candidate150.ipynb</w:t>
            </w:r>
          </w:p>
        </w:tc>
        <w:tc>
          <w:tcPr>
            <w:tcW w:type="dxa" w:w="1656"/>
            <w:vAlign w:val="center"/>
          </w:tcPr>
          <w:p>
            <w:pPr>
              <w:spacing w:after="20"/>
            </w:pPr>
            <w:r>
              <w:rPr>
                <w:rFonts w:ascii="Arial" w:hAnsi="Arial"/>
                <w:sz w:val="12"/>
              </w:rPr>
              <w:t>Candidate-150 multi-label development</w:t>
            </w:r>
          </w:p>
        </w:tc>
        <w:tc>
          <w:tcPr>
            <w:tcW w:type="dxa" w:w="1656"/>
            <w:vAlign w:val="center"/>
          </w:tcPr>
          <w:p>
            <w:pPr>
              <w:spacing w:after="20"/>
            </w:pPr>
            <w:r>
              <w:rPr>
                <w:rFonts w:ascii="Arial" w:hAnsi="Arial"/>
                <w:sz w:val="12"/>
              </w:rPr>
              <w:t>1</w:t>
            </w:r>
          </w:p>
        </w:tc>
        <w:tc>
          <w:tcPr>
            <w:tcW w:type="dxa" w:w="1656"/>
            <w:vAlign w:val="center"/>
          </w:tcPr>
          <w:p>
            <w:pPr>
              <w:spacing w:after="20"/>
            </w:pPr>
            <w:r>
              <w:rPr>
                <w:rFonts w:ascii="Arial" w:hAnsi="Arial"/>
                <w:sz w:val="12"/>
              </w:rPr>
              <w:t>22</w:t>
            </w:r>
          </w:p>
        </w:tc>
        <w:tc>
          <w:tcPr>
            <w:tcW w:type="dxa" w:w="1656"/>
            <w:vAlign w:val="center"/>
          </w:tcPr>
          <w:p>
            <w:pPr>
              <w:spacing w:after="20"/>
            </w:pPr>
            <w:r>
              <w:rPr>
                <w:rFonts w:ascii="Arial" w:hAnsi="Arial"/>
                <w:sz w:val="12"/>
              </w:rPr>
              <w:t>31</w:t>
            </w:r>
          </w:p>
        </w:tc>
      </w:tr>
      <w:tr>
        <w:tc>
          <w:tcPr>
            <w:tcW w:type="dxa" w:w="1656"/>
            <w:vAlign w:val="center"/>
          </w:tcPr>
          <w:p>
            <w:pPr>
              <w:spacing w:after="20"/>
            </w:pPr>
            <w:r>
              <w:rPr>
                <w:rFonts w:ascii="Arial" w:hAnsi="Arial"/>
                <w:sz w:val="12"/>
              </w:rPr>
              <w:t>30</w:t>
            </w:r>
          </w:p>
        </w:tc>
        <w:tc>
          <w:tcPr>
            <w:tcW w:type="dxa" w:w="1656"/>
            <w:vAlign w:val="center"/>
          </w:tcPr>
          <w:p>
            <w:pPr>
              <w:spacing w:after="20"/>
            </w:pPr>
            <w:r>
              <w:rPr>
                <w:rFonts w:ascii="Arial" w:hAnsi="Arial"/>
                <w:sz w:val="12"/>
              </w:rPr>
              <w:t>30_audio_multilabel_baseline_candidate150_pilot.ipynb</w:t>
            </w:r>
          </w:p>
        </w:tc>
        <w:tc>
          <w:tcPr>
            <w:tcW w:type="dxa" w:w="1656"/>
            <w:vAlign w:val="center"/>
          </w:tcPr>
          <w:p>
            <w:pPr>
              <w:spacing w:after="20"/>
            </w:pPr>
            <w:r>
              <w:rPr>
                <w:rFonts w:ascii="Arial" w:hAnsi="Arial"/>
                <w:sz w:val="12"/>
              </w:rPr>
              <w:t>Candidate-150 multi-label development</w:t>
            </w:r>
          </w:p>
        </w:tc>
        <w:tc>
          <w:tcPr>
            <w:tcW w:type="dxa" w:w="1656"/>
            <w:vAlign w:val="center"/>
          </w:tcPr>
          <w:p>
            <w:pPr>
              <w:spacing w:after="20"/>
            </w:pPr>
            <w:r>
              <w:rPr>
                <w:rFonts w:ascii="Arial" w:hAnsi="Arial"/>
                <w:sz w:val="12"/>
              </w:rPr>
              <w:t>1</w:t>
            </w:r>
          </w:p>
        </w:tc>
        <w:tc>
          <w:tcPr>
            <w:tcW w:type="dxa" w:w="1656"/>
            <w:vAlign w:val="center"/>
          </w:tcPr>
          <w:p>
            <w:pPr>
              <w:spacing w:after="20"/>
            </w:pPr>
            <w:r>
              <w:rPr>
                <w:rFonts w:ascii="Arial" w:hAnsi="Arial"/>
                <w:sz w:val="12"/>
              </w:rPr>
              <w:t>25</w:t>
            </w:r>
          </w:p>
        </w:tc>
        <w:tc>
          <w:tcPr>
            <w:tcW w:type="dxa" w:w="1656"/>
            <w:vAlign w:val="center"/>
          </w:tcPr>
          <w:p>
            <w:pPr>
              <w:spacing w:after="20"/>
            </w:pPr>
            <w:r>
              <w:rPr>
                <w:rFonts w:ascii="Arial" w:hAnsi="Arial"/>
                <w:sz w:val="12"/>
              </w:rPr>
              <w:t>32</w:t>
            </w:r>
          </w:p>
        </w:tc>
      </w:tr>
      <w:tr>
        <w:tc>
          <w:tcPr>
            <w:tcW w:type="dxa" w:w="1656"/>
            <w:vAlign w:val="center"/>
          </w:tcPr>
          <w:p>
            <w:pPr>
              <w:spacing w:after="20"/>
            </w:pPr>
            <w:r>
              <w:rPr>
                <w:rFonts w:ascii="Arial" w:hAnsi="Arial"/>
                <w:sz w:val="12"/>
              </w:rPr>
              <w:t>31</w:t>
            </w:r>
          </w:p>
        </w:tc>
        <w:tc>
          <w:tcPr>
            <w:tcW w:type="dxa" w:w="1656"/>
            <w:vAlign w:val="center"/>
          </w:tcPr>
          <w:p>
            <w:pPr>
              <w:spacing w:after="20"/>
            </w:pPr>
            <w:r>
              <w:rPr>
                <w:rFonts w:ascii="Arial" w:hAnsi="Arial"/>
                <w:sz w:val="12"/>
              </w:rPr>
              <w:t>31_structured_predictions_for_audio_pilot_candidate150.ipynb</w:t>
            </w:r>
          </w:p>
        </w:tc>
        <w:tc>
          <w:tcPr>
            <w:tcW w:type="dxa" w:w="1656"/>
            <w:vAlign w:val="center"/>
          </w:tcPr>
          <w:p>
            <w:pPr>
              <w:spacing w:after="20"/>
            </w:pPr>
            <w:r>
              <w:rPr>
                <w:rFonts w:ascii="Arial" w:hAnsi="Arial"/>
                <w:sz w:val="12"/>
              </w:rPr>
              <w:t>Candidate-150 multi-label development</w:t>
            </w:r>
          </w:p>
        </w:tc>
        <w:tc>
          <w:tcPr>
            <w:tcW w:type="dxa" w:w="1656"/>
            <w:vAlign w:val="center"/>
          </w:tcPr>
          <w:p>
            <w:pPr>
              <w:spacing w:after="20"/>
            </w:pPr>
            <w:r>
              <w:rPr>
                <w:rFonts w:ascii="Arial" w:hAnsi="Arial"/>
                <w:sz w:val="12"/>
              </w:rPr>
              <w:t>1</w:t>
            </w:r>
          </w:p>
        </w:tc>
        <w:tc>
          <w:tcPr>
            <w:tcW w:type="dxa" w:w="1656"/>
            <w:vAlign w:val="center"/>
          </w:tcPr>
          <w:p>
            <w:pPr>
              <w:spacing w:after="20"/>
            </w:pPr>
            <w:r>
              <w:rPr>
                <w:rFonts w:ascii="Arial" w:hAnsi="Arial"/>
                <w:sz w:val="12"/>
              </w:rPr>
              <w:t>16</w:t>
            </w:r>
          </w:p>
        </w:tc>
        <w:tc>
          <w:tcPr>
            <w:tcW w:type="dxa" w:w="1656"/>
            <w:vAlign w:val="center"/>
          </w:tcPr>
          <w:p>
            <w:pPr>
              <w:spacing w:after="20"/>
            </w:pPr>
            <w:r>
              <w:rPr>
                <w:rFonts w:ascii="Arial" w:hAnsi="Arial"/>
                <w:sz w:val="12"/>
              </w:rPr>
              <w:t>18</w:t>
            </w:r>
          </w:p>
        </w:tc>
      </w:tr>
      <w:tr>
        <w:tc>
          <w:tcPr>
            <w:tcW w:type="dxa" w:w="1656"/>
            <w:vAlign w:val="center"/>
          </w:tcPr>
          <w:p>
            <w:pPr>
              <w:spacing w:after="20"/>
            </w:pPr>
            <w:r>
              <w:rPr>
                <w:rFonts w:ascii="Arial" w:hAnsi="Arial"/>
                <w:sz w:val="12"/>
              </w:rPr>
              <w:t>32</w:t>
            </w:r>
          </w:p>
        </w:tc>
        <w:tc>
          <w:tcPr>
            <w:tcW w:type="dxa" w:w="1656"/>
            <w:vAlign w:val="center"/>
          </w:tcPr>
          <w:p>
            <w:pPr>
              <w:spacing w:after="20"/>
            </w:pPr>
            <w:r>
              <w:rPr>
                <w:rFonts w:ascii="Arial" w:hAnsi="Arial"/>
                <w:sz w:val="12"/>
              </w:rPr>
              <w:t>32_hybrid_multilabel_fusion_candidate150_pilot.ipynb</w:t>
            </w:r>
          </w:p>
        </w:tc>
        <w:tc>
          <w:tcPr>
            <w:tcW w:type="dxa" w:w="1656"/>
            <w:vAlign w:val="center"/>
          </w:tcPr>
          <w:p>
            <w:pPr>
              <w:spacing w:after="20"/>
            </w:pPr>
            <w:r>
              <w:rPr>
                <w:rFonts w:ascii="Arial" w:hAnsi="Arial"/>
                <w:sz w:val="12"/>
              </w:rPr>
              <w:t>Candidate-150 multi-label development</w:t>
            </w:r>
          </w:p>
        </w:tc>
        <w:tc>
          <w:tcPr>
            <w:tcW w:type="dxa" w:w="1656"/>
            <w:vAlign w:val="center"/>
          </w:tcPr>
          <w:p>
            <w:pPr>
              <w:spacing w:after="20"/>
            </w:pPr>
            <w:r>
              <w:rPr>
                <w:rFonts w:ascii="Arial" w:hAnsi="Arial"/>
                <w:sz w:val="12"/>
              </w:rPr>
              <w:t>1</w:t>
            </w:r>
          </w:p>
        </w:tc>
        <w:tc>
          <w:tcPr>
            <w:tcW w:type="dxa" w:w="1656"/>
            <w:vAlign w:val="center"/>
          </w:tcPr>
          <w:p>
            <w:pPr>
              <w:spacing w:after="20"/>
            </w:pPr>
            <w:r>
              <w:rPr>
                <w:rFonts w:ascii="Arial" w:hAnsi="Arial"/>
                <w:sz w:val="12"/>
              </w:rPr>
              <w:t>14</w:t>
            </w:r>
          </w:p>
        </w:tc>
        <w:tc>
          <w:tcPr>
            <w:tcW w:type="dxa" w:w="1656"/>
            <w:vAlign w:val="center"/>
          </w:tcPr>
          <w:p>
            <w:pPr>
              <w:spacing w:after="20"/>
            </w:pPr>
            <w:r>
              <w:rPr>
                <w:rFonts w:ascii="Arial" w:hAnsi="Arial"/>
                <w:sz w:val="12"/>
              </w:rPr>
              <w:t>17</w:t>
            </w:r>
          </w:p>
        </w:tc>
      </w:tr>
      <w:tr>
        <w:tc>
          <w:tcPr>
            <w:tcW w:type="dxa" w:w="1656"/>
            <w:vAlign w:val="center"/>
          </w:tcPr>
          <w:p>
            <w:pPr>
              <w:spacing w:after="20"/>
            </w:pPr>
            <w:r>
              <w:rPr>
                <w:rFonts w:ascii="Arial" w:hAnsi="Arial"/>
                <w:sz w:val="12"/>
              </w:rPr>
              <w:t>33</w:t>
            </w:r>
          </w:p>
        </w:tc>
        <w:tc>
          <w:tcPr>
            <w:tcW w:type="dxa" w:w="1656"/>
            <w:vAlign w:val="center"/>
          </w:tcPr>
          <w:p>
            <w:pPr>
              <w:spacing w:after="20"/>
            </w:pPr>
            <w:r>
              <w:rPr>
                <w:rFonts w:ascii="Arial" w:hAnsi="Arial"/>
                <w:sz w:val="12"/>
              </w:rPr>
              <w:t>33_hybrid_multilabel_per_label_thresholds_candidate150_pilot.ipynb</w:t>
            </w:r>
          </w:p>
        </w:tc>
        <w:tc>
          <w:tcPr>
            <w:tcW w:type="dxa" w:w="1656"/>
            <w:vAlign w:val="center"/>
          </w:tcPr>
          <w:p>
            <w:pPr>
              <w:spacing w:after="20"/>
            </w:pPr>
            <w:r>
              <w:rPr>
                <w:rFonts w:ascii="Arial" w:hAnsi="Arial"/>
                <w:sz w:val="12"/>
              </w:rPr>
              <w:t>Candidate-150 multi-label development</w:t>
            </w:r>
          </w:p>
        </w:tc>
        <w:tc>
          <w:tcPr>
            <w:tcW w:type="dxa" w:w="1656"/>
            <w:vAlign w:val="center"/>
          </w:tcPr>
          <w:p>
            <w:pPr>
              <w:spacing w:after="20"/>
            </w:pPr>
            <w:r>
              <w:rPr>
                <w:rFonts w:ascii="Arial" w:hAnsi="Arial"/>
                <w:sz w:val="12"/>
              </w:rPr>
              <w:t>1</w:t>
            </w:r>
          </w:p>
        </w:tc>
        <w:tc>
          <w:tcPr>
            <w:tcW w:type="dxa" w:w="1656"/>
            <w:vAlign w:val="center"/>
          </w:tcPr>
          <w:p>
            <w:pPr>
              <w:spacing w:after="20"/>
            </w:pPr>
            <w:r>
              <w:rPr>
                <w:rFonts w:ascii="Arial" w:hAnsi="Arial"/>
                <w:sz w:val="12"/>
              </w:rPr>
              <w:t>16</w:t>
            </w:r>
          </w:p>
        </w:tc>
        <w:tc>
          <w:tcPr>
            <w:tcW w:type="dxa" w:w="1656"/>
            <w:vAlign w:val="center"/>
          </w:tcPr>
          <w:p>
            <w:pPr>
              <w:spacing w:after="20"/>
            </w:pPr>
            <w:r>
              <w:rPr>
                <w:rFonts w:ascii="Arial" w:hAnsi="Arial"/>
                <w:sz w:val="12"/>
              </w:rPr>
              <w:t>17</w:t>
            </w:r>
          </w:p>
        </w:tc>
      </w:tr>
      <w:tr>
        <w:tc>
          <w:tcPr>
            <w:tcW w:type="dxa" w:w="1656"/>
            <w:vAlign w:val="center"/>
          </w:tcPr>
          <w:p>
            <w:pPr>
              <w:spacing w:after="20"/>
            </w:pPr>
            <w:r>
              <w:rPr>
                <w:rFonts w:ascii="Arial" w:hAnsi="Arial"/>
                <w:sz w:val="12"/>
              </w:rPr>
              <w:t>34</w:t>
            </w:r>
          </w:p>
        </w:tc>
        <w:tc>
          <w:tcPr>
            <w:tcW w:type="dxa" w:w="1656"/>
            <w:vAlign w:val="center"/>
          </w:tcPr>
          <w:p>
            <w:pPr>
              <w:spacing w:after="20"/>
            </w:pPr>
            <w:r>
              <w:rPr>
                <w:rFonts w:ascii="Arial" w:hAnsi="Arial"/>
                <w:sz w:val="12"/>
              </w:rPr>
              <w:t>34_audio_multilabel_candidate150_expanded_pilot.ipynb</w:t>
            </w:r>
          </w:p>
        </w:tc>
        <w:tc>
          <w:tcPr>
            <w:tcW w:type="dxa" w:w="1656"/>
            <w:vAlign w:val="center"/>
          </w:tcPr>
          <w:p>
            <w:pPr>
              <w:spacing w:after="20"/>
            </w:pPr>
            <w:r>
              <w:rPr>
                <w:rFonts w:ascii="Arial" w:hAnsi="Arial"/>
                <w:sz w:val="12"/>
              </w:rPr>
              <w:t>Candidate-150 multi-label development</w:t>
            </w:r>
          </w:p>
        </w:tc>
        <w:tc>
          <w:tcPr>
            <w:tcW w:type="dxa" w:w="1656"/>
            <w:vAlign w:val="center"/>
          </w:tcPr>
          <w:p>
            <w:pPr>
              <w:spacing w:after="20"/>
            </w:pPr>
            <w:r>
              <w:rPr>
                <w:rFonts w:ascii="Arial" w:hAnsi="Arial"/>
                <w:sz w:val="12"/>
              </w:rPr>
              <w:t>1</w:t>
            </w:r>
          </w:p>
        </w:tc>
        <w:tc>
          <w:tcPr>
            <w:tcW w:type="dxa" w:w="1656"/>
            <w:vAlign w:val="center"/>
          </w:tcPr>
          <w:p>
            <w:pPr>
              <w:spacing w:after="20"/>
            </w:pPr>
            <w:r>
              <w:rPr>
                <w:rFonts w:ascii="Arial" w:hAnsi="Arial"/>
                <w:sz w:val="12"/>
              </w:rPr>
              <w:t>25</w:t>
            </w:r>
          </w:p>
        </w:tc>
        <w:tc>
          <w:tcPr>
            <w:tcW w:type="dxa" w:w="1656"/>
            <w:vAlign w:val="center"/>
          </w:tcPr>
          <w:p>
            <w:pPr>
              <w:spacing w:after="20"/>
            </w:pPr>
            <w:r>
              <w:rPr>
                <w:rFonts w:ascii="Arial" w:hAnsi="Arial"/>
                <w:sz w:val="12"/>
              </w:rPr>
              <w:t>32</w:t>
            </w:r>
          </w:p>
        </w:tc>
      </w:tr>
      <w:tr>
        <w:tc>
          <w:tcPr>
            <w:tcW w:type="dxa" w:w="1656"/>
            <w:vAlign w:val="center"/>
          </w:tcPr>
          <w:p>
            <w:pPr>
              <w:spacing w:after="20"/>
            </w:pPr>
            <w:r>
              <w:rPr>
                <w:rFonts w:ascii="Arial" w:hAnsi="Arial"/>
                <w:sz w:val="12"/>
              </w:rPr>
              <w:t>35</w:t>
            </w:r>
          </w:p>
        </w:tc>
        <w:tc>
          <w:tcPr>
            <w:tcW w:type="dxa" w:w="1656"/>
            <w:vAlign w:val="center"/>
          </w:tcPr>
          <w:p>
            <w:pPr>
              <w:spacing w:after="20"/>
            </w:pPr>
            <w:r>
              <w:rPr>
                <w:rFonts w:ascii="Arial" w:hAnsi="Arial"/>
                <w:sz w:val="12"/>
              </w:rPr>
              <w:t>35_structured_predictions_for_expanded_audio_candidate150.ipynb</w:t>
            </w:r>
          </w:p>
        </w:tc>
        <w:tc>
          <w:tcPr>
            <w:tcW w:type="dxa" w:w="1656"/>
            <w:vAlign w:val="center"/>
          </w:tcPr>
          <w:p>
            <w:pPr>
              <w:spacing w:after="20"/>
            </w:pPr>
            <w:r>
              <w:rPr>
                <w:rFonts w:ascii="Arial" w:hAnsi="Arial"/>
                <w:sz w:val="12"/>
              </w:rPr>
              <w:t>Candidate-150 multi-label development</w:t>
            </w:r>
          </w:p>
        </w:tc>
        <w:tc>
          <w:tcPr>
            <w:tcW w:type="dxa" w:w="1656"/>
            <w:vAlign w:val="center"/>
          </w:tcPr>
          <w:p>
            <w:pPr>
              <w:spacing w:after="20"/>
            </w:pPr>
            <w:r>
              <w:rPr>
                <w:rFonts w:ascii="Arial" w:hAnsi="Arial"/>
                <w:sz w:val="12"/>
              </w:rPr>
              <w:t>1</w:t>
            </w:r>
          </w:p>
        </w:tc>
        <w:tc>
          <w:tcPr>
            <w:tcW w:type="dxa" w:w="1656"/>
            <w:vAlign w:val="center"/>
          </w:tcPr>
          <w:p>
            <w:pPr>
              <w:spacing w:after="20"/>
            </w:pPr>
            <w:r>
              <w:rPr>
                <w:rFonts w:ascii="Arial" w:hAnsi="Arial"/>
                <w:sz w:val="12"/>
              </w:rPr>
              <w:t>16</w:t>
            </w:r>
          </w:p>
        </w:tc>
        <w:tc>
          <w:tcPr>
            <w:tcW w:type="dxa" w:w="1656"/>
            <w:vAlign w:val="center"/>
          </w:tcPr>
          <w:p>
            <w:pPr>
              <w:spacing w:after="20"/>
            </w:pPr>
            <w:r>
              <w:rPr>
                <w:rFonts w:ascii="Arial" w:hAnsi="Arial"/>
                <w:sz w:val="12"/>
              </w:rPr>
              <w:t>17</w:t>
            </w:r>
          </w:p>
        </w:tc>
      </w:tr>
      <w:tr>
        <w:tc>
          <w:tcPr>
            <w:tcW w:type="dxa" w:w="1656"/>
            <w:vAlign w:val="center"/>
          </w:tcPr>
          <w:p>
            <w:pPr>
              <w:spacing w:after="20"/>
            </w:pPr>
            <w:r>
              <w:rPr>
                <w:rFonts w:ascii="Arial" w:hAnsi="Arial"/>
                <w:sz w:val="12"/>
              </w:rPr>
              <w:t>36</w:t>
            </w:r>
          </w:p>
        </w:tc>
        <w:tc>
          <w:tcPr>
            <w:tcW w:type="dxa" w:w="1656"/>
            <w:vAlign w:val="center"/>
          </w:tcPr>
          <w:p>
            <w:pPr>
              <w:spacing w:after="20"/>
            </w:pPr>
            <w:r>
              <w:rPr>
                <w:rFonts w:ascii="Arial" w:hAnsi="Arial"/>
                <w:sz w:val="12"/>
              </w:rPr>
              <w:t>36_hybrid_multilabel_fusion_candidate150_expanded.ipynb</w:t>
            </w:r>
          </w:p>
        </w:tc>
        <w:tc>
          <w:tcPr>
            <w:tcW w:type="dxa" w:w="1656"/>
            <w:vAlign w:val="center"/>
          </w:tcPr>
          <w:p>
            <w:pPr>
              <w:spacing w:after="20"/>
            </w:pPr>
            <w:r>
              <w:rPr>
                <w:rFonts w:ascii="Arial" w:hAnsi="Arial"/>
                <w:sz w:val="12"/>
              </w:rPr>
              <w:t>Candidate-150 multi-label development</w:t>
            </w:r>
          </w:p>
        </w:tc>
        <w:tc>
          <w:tcPr>
            <w:tcW w:type="dxa" w:w="1656"/>
            <w:vAlign w:val="center"/>
          </w:tcPr>
          <w:p>
            <w:pPr>
              <w:spacing w:after="20"/>
            </w:pPr>
            <w:r>
              <w:rPr>
                <w:rFonts w:ascii="Arial" w:hAnsi="Arial"/>
                <w:sz w:val="12"/>
              </w:rPr>
              <w:t>1</w:t>
            </w:r>
          </w:p>
        </w:tc>
        <w:tc>
          <w:tcPr>
            <w:tcW w:type="dxa" w:w="1656"/>
            <w:vAlign w:val="center"/>
          </w:tcPr>
          <w:p>
            <w:pPr>
              <w:spacing w:after="20"/>
            </w:pPr>
            <w:r>
              <w:rPr>
                <w:rFonts w:ascii="Arial" w:hAnsi="Arial"/>
                <w:sz w:val="12"/>
              </w:rPr>
              <w:t>15</w:t>
            </w:r>
          </w:p>
        </w:tc>
        <w:tc>
          <w:tcPr>
            <w:tcW w:type="dxa" w:w="1656"/>
            <w:vAlign w:val="center"/>
          </w:tcPr>
          <w:p>
            <w:pPr>
              <w:spacing w:after="20"/>
            </w:pPr>
            <w:r>
              <w:rPr>
                <w:rFonts w:ascii="Arial" w:hAnsi="Arial"/>
                <w:sz w:val="12"/>
              </w:rPr>
              <w:t>18</w:t>
            </w:r>
          </w:p>
        </w:tc>
      </w:tr>
      <w:tr>
        <w:tc>
          <w:tcPr>
            <w:tcW w:type="dxa" w:w="1656"/>
            <w:vAlign w:val="center"/>
          </w:tcPr>
          <w:p>
            <w:pPr>
              <w:spacing w:after="20"/>
            </w:pPr>
            <w:r>
              <w:rPr>
                <w:rFonts w:ascii="Arial" w:hAnsi="Arial"/>
                <w:sz w:val="12"/>
              </w:rPr>
              <w:t>37</w:t>
            </w:r>
          </w:p>
        </w:tc>
        <w:tc>
          <w:tcPr>
            <w:tcW w:type="dxa" w:w="1656"/>
            <w:vAlign w:val="center"/>
          </w:tcPr>
          <w:p>
            <w:pPr>
              <w:spacing w:after="20"/>
            </w:pPr>
            <w:r>
              <w:rPr>
                <w:rFonts w:ascii="Arial" w:hAnsi="Arial"/>
                <w:sz w:val="12"/>
              </w:rPr>
              <w:t>37_expanded_hybrid_multilabel_per_label_thresholds_and_cap.ipynb</w:t>
            </w:r>
          </w:p>
        </w:tc>
        <w:tc>
          <w:tcPr>
            <w:tcW w:type="dxa" w:w="1656"/>
            <w:vAlign w:val="center"/>
          </w:tcPr>
          <w:p>
            <w:pPr>
              <w:spacing w:after="20"/>
            </w:pPr>
            <w:r>
              <w:rPr>
                <w:rFonts w:ascii="Arial" w:hAnsi="Arial"/>
                <w:sz w:val="12"/>
              </w:rPr>
              <w:t>Candidate-150 multi-label development</w:t>
            </w:r>
          </w:p>
        </w:tc>
        <w:tc>
          <w:tcPr>
            <w:tcW w:type="dxa" w:w="1656"/>
            <w:vAlign w:val="center"/>
          </w:tcPr>
          <w:p>
            <w:pPr>
              <w:spacing w:after="20"/>
            </w:pPr>
            <w:r>
              <w:rPr>
                <w:rFonts w:ascii="Arial" w:hAnsi="Arial"/>
                <w:sz w:val="12"/>
              </w:rPr>
              <w:t>1</w:t>
            </w:r>
          </w:p>
        </w:tc>
        <w:tc>
          <w:tcPr>
            <w:tcW w:type="dxa" w:w="1656"/>
            <w:vAlign w:val="center"/>
          </w:tcPr>
          <w:p>
            <w:pPr>
              <w:spacing w:after="20"/>
            </w:pPr>
            <w:r>
              <w:rPr>
                <w:rFonts w:ascii="Arial" w:hAnsi="Arial"/>
                <w:sz w:val="12"/>
              </w:rPr>
              <w:t>16</w:t>
            </w:r>
          </w:p>
        </w:tc>
        <w:tc>
          <w:tcPr>
            <w:tcW w:type="dxa" w:w="1656"/>
            <w:vAlign w:val="center"/>
          </w:tcPr>
          <w:p>
            <w:pPr>
              <w:spacing w:after="20"/>
            </w:pPr>
            <w:r>
              <w:rPr>
                <w:rFonts w:ascii="Arial" w:hAnsi="Arial"/>
                <w:sz w:val="12"/>
              </w:rPr>
              <w:t>17</w:t>
            </w:r>
          </w:p>
        </w:tc>
      </w:tr>
      <w:tr>
        <w:tc>
          <w:tcPr>
            <w:tcW w:type="dxa" w:w="1656"/>
            <w:vAlign w:val="center"/>
          </w:tcPr>
          <w:p>
            <w:pPr>
              <w:spacing w:after="20"/>
            </w:pPr>
            <w:r>
              <w:rPr>
                <w:rFonts w:ascii="Arial" w:hAnsi="Arial"/>
                <w:sz w:val="12"/>
              </w:rPr>
              <w:t>38</w:t>
            </w:r>
          </w:p>
        </w:tc>
        <w:tc>
          <w:tcPr>
            <w:tcW w:type="dxa" w:w="1656"/>
            <w:vAlign w:val="center"/>
          </w:tcPr>
          <w:p>
            <w:pPr>
              <w:spacing w:after="20"/>
            </w:pPr>
            <w:r>
              <w:rPr>
                <w:rFonts w:ascii="Arial" w:hAnsi="Arial"/>
                <w:sz w:val="12"/>
              </w:rPr>
              <w:t>38_final_candidate150_consolidation_and_report_tables.ipynb</w:t>
            </w:r>
          </w:p>
        </w:tc>
        <w:tc>
          <w:tcPr>
            <w:tcW w:type="dxa" w:w="1656"/>
            <w:vAlign w:val="center"/>
          </w:tcPr>
          <w:p>
            <w:pPr>
              <w:spacing w:after="20"/>
            </w:pPr>
            <w:r>
              <w:rPr>
                <w:rFonts w:ascii="Arial" w:hAnsi="Arial"/>
                <w:sz w:val="12"/>
              </w:rPr>
              <w:t>Candidate-150 multi-label development</w:t>
            </w:r>
          </w:p>
        </w:tc>
        <w:tc>
          <w:tcPr>
            <w:tcW w:type="dxa" w:w="1656"/>
            <w:vAlign w:val="center"/>
          </w:tcPr>
          <w:p>
            <w:pPr>
              <w:spacing w:after="20"/>
            </w:pPr>
            <w:r>
              <w:rPr>
                <w:rFonts w:ascii="Arial" w:hAnsi="Arial"/>
                <w:sz w:val="12"/>
              </w:rPr>
              <w:t>1</w:t>
            </w:r>
          </w:p>
        </w:tc>
        <w:tc>
          <w:tcPr>
            <w:tcW w:type="dxa" w:w="1656"/>
            <w:vAlign w:val="center"/>
          </w:tcPr>
          <w:p>
            <w:pPr>
              <w:spacing w:after="20"/>
            </w:pPr>
            <w:r>
              <w:rPr>
                <w:rFonts w:ascii="Arial" w:hAnsi="Arial"/>
                <w:sz w:val="12"/>
              </w:rPr>
              <w:t>16</w:t>
            </w:r>
          </w:p>
        </w:tc>
        <w:tc>
          <w:tcPr>
            <w:tcW w:type="dxa" w:w="1656"/>
            <w:vAlign w:val="center"/>
          </w:tcPr>
          <w:p>
            <w:pPr>
              <w:spacing w:after="20"/>
            </w:pPr>
            <w:r>
              <w:rPr>
                <w:rFonts w:ascii="Arial" w:hAnsi="Arial"/>
                <w:sz w:val="12"/>
              </w:rPr>
              <w:t>33</w:t>
            </w:r>
          </w:p>
        </w:tc>
      </w:tr>
      <w:tr>
        <w:tc>
          <w:tcPr>
            <w:tcW w:type="dxa" w:w="1656"/>
            <w:vAlign w:val="center"/>
          </w:tcPr>
          <w:p>
            <w:pPr>
              <w:spacing w:after="20"/>
            </w:pPr>
            <w:r>
              <w:rPr>
                <w:rFonts w:ascii="Arial" w:hAnsi="Arial"/>
                <w:sz w:val="12"/>
              </w:rPr>
              <w:t>39</w:t>
            </w:r>
          </w:p>
        </w:tc>
        <w:tc>
          <w:tcPr>
            <w:tcW w:type="dxa" w:w="1656"/>
            <w:vAlign w:val="center"/>
          </w:tcPr>
          <w:p>
            <w:pPr>
              <w:spacing w:after="20"/>
            </w:pPr>
            <w:r>
              <w:rPr>
                <w:rFonts w:ascii="Arial" w:hAnsi="Arial"/>
                <w:sz w:val="12"/>
              </w:rPr>
              <w:t>39_full161_rare_tail_preparation_and_all_genre_strategy.ipynb</w:t>
            </w:r>
          </w:p>
        </w:tc>
        <w:tc>
          <w:tcPr>
            <w:tcW w:type="dxa" w:w="1656"/>
            <w:vAlign w:val="center"/>
          </w:tcPr>
          <w:p>
            <w:pPr>
              <w:spacing w:after="20"/>
            </w:pPr>
            <w:r>
              <w:rPr>
                <w:rFonts w:ascii="Arial" w:hAnsi="Arial"/>
                <w:sz w:val="12"/>
              </w:rPr>
              <w:t>Full 163-genre strategy and rare-tail routing</w:t>
            </w:r>
          </w:p>
        </w:tc>
        <w:tc>
          <w:tcPr>
            <w:tcW w:type="dxa" w:w="1656"/>
            <w:vAlign w:val="center"/>
          </w:tcPr>
          <w:p>
            <w:pPr>
              <w:spacing w:after="20"/>
            </w:pPr>
            <w:r>
              <w:rPr>
                <w:rFonts w:ascii="Arial" w:hAnsi="Arial"/>
                <w:sz w:val="12"/>
              </w:rPr>
              <w:t>1</w:t>
            </w:r>
          </w:p>
        </w:tc>
        <w:tc>
          <w:tcPr>
            <w:tcW w:type="dxa" w:w="1656"/>
            <w:vAlign w:val="center"/>
          </w:tcPr>
          <w:p>
            <w:pPr>
              <w:spacing w:after="20"/>
            </w:pPr>
            <w:r>
              <w:rPr>
                <w:rFonts w:ascii="Arial" w:hAnsi="Arial"/>
                <w:sz w:val="12"/>
              </w:rPr>
              <w:t>14</w:t>
            </w:r>
          </w:p>
        </w:tc>
        <w:tc>
          <w:tcPr>
            <w:tcW w:type="dxa" w:w="1656"/>
            <w:vAlign w:val="center"/>
          </w:tcPr>
          <w:p>
            <w:pPr>
              <w:spacing w:after="20"/>
            </w:pPr>
            <w:r>
              <w:rPr>
                <w:rFonts w:ascii="Arial" w:hAnsi="Arial"/>
                <w:sz w:val="12"/>
              </w:rPr>
              <w:t>25</w:t>
            </w:r>
          </w:p>
        </w:tc>
      </w:tr>
      <w:tr>
        <w:tc>
          <w:tcPr>
            <w:tcW w:type="dxa" w:w="1656"/>
            <w:vAlign w:val="center"/>
          </w:tcPr>
          <w:p>
            <w:pPr>
              <w:spacing w:after="20"/>
            </w:pPr>
            <w:r>
              <w:rPr>
                <w:rFonts w:ascii="Arial" w:hAnsi="Arial"/>
                <w:sz w:val="12"/>
              </w:rPr>
              <w:t>40</w:t>
            </w:r>
          </w:p>
        </w:tc>
        <w:tc>
          <w:tcPr>
            <w:tcW w:type="dxa" w:w="1656"/>
            <w:vAlign w:val="center"/>
          </w:tcPr>
          <w:p>
            <w:pPr>
              <w:spacing w:after="20"/>
            </w:pPr>
            <w:r>
              <w:rPr>
                <w:rFonts w:ascii="Arial" w:hAnsi="Arial"/>
                <w:sz w:val="12"/>
              </w:rPr>
              <w:t>40_full161_rare_tail_fallback_router.ipynb</w:t>
            </w:r>
          </w:p>
        </w:tc>
        <w:tc>
          <w:tcPr>
            <w:tcW w:type="dxa" w:w="1656"/>
            <w:vAlign w:val="center"/>
          </w:tcPr>
          <w:p>
            <w:pPr>
              <w:spacing w:after="20"/>
            </w:pPr>
            <w:r>
              <w:rPr>
                <w:rFonts w:ascii="Arial" w:hAnsi="Arial"/>
                <w:sz w:val="12"/>
              </w:rPr>
              <w:t>Full 163-genre strategy and rare-tail routing</w:t>
            </w:r>
          </w:p>
        </w:tc>
        <w:tc>
          <w:tcPr>
            <w:tcW w:type="dxa" w:w="1656"/>
            <w:vAlign w:val="center"/>
          </w:tcPr>
          <w:p>
            <w:pPr>
              <w:spacing w:after="20"/>
            </w:pPr>
            <w:r>
              <w:rPr>
                <w:rFonts w:ascii="Arial" w:hAnsi="Arial"/>
                <w:sz w:val="12"/>
              </w:rPr>
              <w:t>1</w:t>
            </w:r>
          </w:p>
        </w:tc>
        <w:tc>
          <w:tcPr>
            <w:tcW w:type="dxa" w:w="1656"/>
            <w:vAlign w:val="center"/>
          </w:tcPr>
          <w:p>
            <w:pPr>
              <w:spacing w:after="20"/>
            </w:pPr>
            <w:r>
              <w:rPr>
                <w:rFonts w:ascii="Arial" w:hAnsi="Arial"/>
                <w:sz w:val="12"/>
              </w:rPr>
              <w:t>14</w:t>
            </w:r>
          </w:p>
        </w:tc>
        <w:tc>
          <w:tcPr>
            <w:tcW w:type="dxa" w:w="1656"/>
            <w:vAlign w:val="center"/>
          </w:tcPr>
          <w:p>
            <w:pPr>
              <w:spacing w:after="20"/>
            </w:pPr>
            <w:r>
              <w:rPr>
                <w:rFonts w:ascii="Arial" w:hAnsi="Arial"/>
                <w:sz w:val="12"/>
              </w:rPr>
              <w:t>25</w:t>
            </w:r>
          </w:p>
        </w:tc>
      </w:tr>
      <w:tr>
        <w:tc>
          <w:tcPr>
            <w:tcW w:type="dxa" w:w="1656"/>
            <w:vAlign w:val="center"/>
          </w:tcPr>
          <w:p>
            <w:pPr>
              <w:spacing w:after="20"/>
            </w:pPr>
            <w:r>
              <w:rPr>
                <w:rFonts w:ascii="Arial" w:hAnsi="Arial"/>
                <w:sz w:val="12"/>
              </w:rPr>
              <w:t>41</w:t>
            </w:r>
          </w:p>
        </w:tc>
        <w:tc>
          <w:tcPr>
            <w:tcW w:type="dxa" w:w="1656"/>
            <w:vAlign w:val="center"/>
          </w:tcPr>
          <w:p>
            <w:pPr>
              <w:spacing w:after="20"/>
            </w:pPr>
            <w:r>
              <w:rPr>
                <w:rFonts w:ascii="Arial" w:hAnsi="Arial"/>
                <w:sz w:val="12"/>
              </w:rPr>
              <w:t>41_full161_end_to_end_inference_pipeline.ipynb</w:t>
            </w:r>
          </w:p>
        </w:tc>
        <w:tc>
          <w:tcPr>
            <w:tcW w:type="dxa" w:w="1656"/>
            <w:vAlign w:val="center"/>
          </w:tcPr>
          <w:p>
            <w:pPr>
              <w:spacing w:after="20"/>
            </w:pPr>
            <w:r>
              <w:rPr>
                <w:rFonts w:ascii="Arial" w:hAnsi="Arial"/>
                <w:sz w:val="12"/>
              </w:rPr>
              <w:t>Full 163-genre strategy and rare-tail routing</w:t>
            </w:r>
          </w:p>
        </w:tc>
        <w:tc>
          <w:tcPr>
            <w:tcW w:type="dxa" w:w="1656"/>
            <w:vAlign w:val="center"/>
          </w:tcPr>
          <w:p>
            <w:pPr>
              <w:spacing w:after="20"/>
            </w:pPr>
            <w:r>
              <w:rPr>
                <w:rFonts w:ascii="Arial" w:hAnsi="Arial"/>
                <w:sz w:val="12"/>
              </w:rPr>
              <w:t>1</w:t>
            </w:r>
          </w:p>
        </w:tc>
        <w:tc>
          <w:tcPr>
            <w:tcW w:type="dxa" w:w="1656"/>
            <w:vAlign w:val="center"/>
          </w:tcPr>
          <w:p>
            <w:pPr>
              <w:spacing w:after="20"/>
            </w:pPr>
            <w:r>
              <w:rPr>
                <w:rFonts w:ascii="Arial" w:hAnsi="Arial"/>
                <w:sz w:val="12"/>
              </w:rPr>
              <w:t>18</w:t>
            </w:r>
          </w:p>
        </w:tc>
        <w:tc>
          <w:tcPr>
            <w:tcW w:type="dxa" w:w="1656"/>
            <w:vAlign w:val="center"/>
          </w:tcPr>
          <w:p>
            <w:pPr>
              <w:spacing w:after="20"/>
            </w:pPr>
            <w:r>
              <w:rPr>
                <w:rFonts w:ascii="Arial" w:hAnsi="Arial"/>
                <w:sz w:val="12"/>
              </w:rPr>
              <w:t>24</w:t>
            </w:r>
          </w:p>
        </w:tc>
      </w:tr>
      <w:tr>
        <w:tc>
          <w:tcPr>
            <w:tcW w:type="dxa" w:w="1656"/>
            <w:vAlign w:val="center"/>
          </w:tcPr>
          <w:p>
            <w:pPr>
              <w:spacing w:after="20"/>
            </w:pPr>
            <w:r>
              <w:rPr>
                <w:rFonts w:ascii="Arial" w:hAnsi="Arial"/>
                <w:sz w:val="12"/>
              </w:rPr>
              <w:t>42</w:t>
            </w:r>
          </w:p>
        </w:tc>
        <w:tc>
          <w:tcPr>
            <w:tcW w:type="dxa" w:w="1656"/>
            <w:vAlign w:val="center"/>
          </w:tcPr>
          <w:p>
            <w:pPr>
              <w:spacing w:after="20"/>
            </w:pPr>
            <w:r>
              <w:rPr>
                <w:rFonts w:ascii="Arial" w:hAnsi="Arial"/>
                <w:sz w:val="12"/>
              </w:rPr>
              <w:t>42_full161_single_file_inference_demo.ipynb</w:t>
            </w:r>
          </w:p>
        </w:tc>
        <w:tc>
          <w:tcPr>
            <w:tcW w:type="dxa" w:w="1656"/>
            <w:vAlign w:val="center"/>
          </w:tcPr>
          <w:p>
            <w:pPr>
              <w:spacing w:after="20"/>
            </w:pPr>
            <w:r>
              <w:rPr>
                <w:rFonts w:ascii="Arial" w:hAnsi="Arial"/>
                <w:sz w:val="12"/>
              </w:rPr>
              <w:t>Full 163-genre strategy and rare-tail routing</w:t>
            </w:r>
          </w:p>
        </w:tc>
        <w:tc>
          <w:tcPr>
            <w:tcW w:type="dxa" w:w="1656"/>
            <w:vAlign w:val="center"/>
          </w:tcPr>
          <w:p>
            <w:pPr>
              <w:spacing w:after="20"/>
            </w:pPr>
            <w:r>
              <w:rPr>
                <w:rFonts w:ascii="Arial" w:hAnsi="Arial"/>
                <w:sz w:val="12"/>
              </w:rPr>
              <w:t>1</w:t>
            </w:r>
          </w:p>
        </w:tc>
        <w:tc>
          <w:tcPr>
            <w:tcW w:type="dxa" w:w="1656"/>
            <w:vAlign w:val="center"/>
          </w:tcPr>
          <w:p>
            <w:pPr>
              <w:spacing w:after="20"/>
            </w:pPr>
            <w:r>
              <w:rPr>
                <w:rFonts w:ascii="Arial" w:hAnsi="Arial"/>
                <w:sz w:val="12"/>
              </w:rPr>
              <w:t>17</w:t>
            </w:r>
          </w:p>
        </w:tc>
        <w:tc>
          <w:tcPr>
            <w:tcW w:type="dxa" w:w="1656"/>
            <w:vAlign w:val="center"/>
          </w:tcPr>
          <w:p>
            <w:pPr>
              <w:spacing w:after="20"/>
            </w:pPr>
            <w:r>
              <w:rPr>
                <w:rFonts w:ascii="Arial" w:hAnsi="Arial"/>
                <w:sz w:val="12"/>
              </w:rPr>
              <w:t>26</w:t>
            </w:r>
          </w:p>
        </w:tc>
      </w:tr>
      <w:tr>
        <w:tc>
          <w:tcPr>
            <w:tcW w:type="dxa" w:w="1656"/>
            <w:vAlign w:val="center"/>
          </w:tcPr>
          <w:p>
            <w:pPr>
              <w:spacing w:after="20"/>
            </w:pPr>
            <w:r>
              <w:rPr>
                <w:rFonts w:ascii="Arial" w:hAnsi="Arial"/>
                <w:sz w:val="12"/>
              </w:rPr>
              <w:t>43</w:t>
            </w:r>
          </w:p>
        </w:tc>
        <w:tc>
          <w:tcPr>
            <w:tcW w:type="dxa" w:w="1656"/>
            <w:vAlign w:val="center"/>
          </w:tcPr>
          <w:p>
            <w:pPr>
              <w:spacing w:after="20"/>
            </w:pPr>
            <w:r>
              <w:rPr>
                <w:rFonts w:ascii="Arial" w:hAnsi="Arial"/>
                <w:sz w:val="12"/>
              </w:rPr>
              <w:t>43_full161_batch_inference_demo.ipynb</w:t>
            </w:r>
          </w:p>
        </w:tc>
        <w:tc>
          <w:tcPr>
            <w:tcW w:type="dxa" w:w="1656"/>
            <w:vAlign w:val="center"/>
          </w:tcPr>
          <w:p>
            <w:pPr>
              <w:spacing w:after="20"/>
            </w:pPr>
            <w:r>
              <w:rPr>
                <w:rFonts w:ascii="Arial" w:hAnsi="Arial"/>
                <w:sz w:val="12"/>
              </w:rPr>
              <w:t>Full 163-genre strategy and rare-tail routing</w:t>
            </w:r>
          </w:p>
        </w:tc>
        <w:tc>
          <w:tcPr>
            <w:tcW w:type="dxa" w:w="1656"/>
            <w:vAlign w:val="center"/>
          </w:tcPr>
          <w:p>
            <w:pPr>
              <w:spacing w:after="20"/>
            </w:pPr>
            <w:r>
              <w:rPr>
                <w:rFonts w:ascii="Arial" w:hAnsi="Arial"/>
                <w:sz w:val="12"/>
              </w:rPr>
              <w:t>1</w:t>
            </w:r>
          </w:p>
        </w:tc>
        <w:tc>
          <w:tcPr>
            <w:tcW w:type="dxa" w:w="1656"/>
            <w:vAlign w:val="center"/>
          </w:tcPr>
          <w:p>
            <w:pPr>
              <w:spacing w:after="20"/>
            </w:pPr>
            <w:r>
              <w:rPr>
                <w:rFonts w:ascii="Arial" w:hAnsi="Arial"/>
                <w:sz w:val="12"/>
              </w:rPr>
              <w:t>10</w:t>
            </w:r>
          </w:p>
        </w:tc>
        <w:tc>
          <w:tcPr>
            <w:tcW w:type="dxa" w:w="1656"/>
            <w:vAlign w:val="center"/>
          </w:tcPr>
          <w:p>
            <w:pPr>
              <w:spacing w:after="20"/>
            </w:pPr>
            <w:r>
              <w:rPr>
                <w:rFonts w:ascii="Arial" w:hAnsi="Arial"/>
                <w:sz w:val="12"/>
              </w:rPr>
              <w:t>13</w:t>
            </w:r>
          </w:p>
        </w:tc>
      </w:tr>
      <w:tr>
        <w:tc>
          <w:tcPr>
            <w:tcW w:type="dxa" w:w="1656"/>
            <w:vAlign w:val="center"/>
          </w:tcPr>
          <w:p>
            <w:pPr>
              <w:spacing w:after="20"/>
            </w:pPr>
            <w:r>
              <w:rPr>
                <w:rFonts w:ascii="Arial" w:hAnsi="Arial"/>
                <w:sz w:val="12"/>
              </w:rPr>
              <w:t>44</w:t>
            </w:r>
          </w:p>
        </w:tc>
        <w:tc>
          <w:tcPr>
            <w:tcW w:type="dxa" w:w="1656"/>
            <w:vAlign w:val="center"/>
          </w:tcPr>
          <w:p>
            <w:pPr>
              <w:spacing w:after="20"/>
            </w:pPr>
            <w:r>
              <w:rPr>
                <w:rFonts w:ascii="Arial" w:hAnsi="Arial"/>
                <w:sz w:val="12"/>
              </w:rPr>
              <w:t>44_full161_targeted_rare_tail_batch_demo.ipynb</w:t>
            </w:r>
          </w:p>
        </w:tc>
        <w:tc>
          <w:tcPr>
            <w:tcW w:type="dxa" w:w="1656"/>
            <w:vAlign w:val="center"/>
          </w:tcPr>
          <w:p>
            <w:pPr>
              <w:spacing w:after="20"/>
            </w:pPr>
            <w:r>
              <w:rPr>
                <w:rFonts w:ascii="Arial" w:hAnsi="Arial"/>
                <w:sz w:val="12"/>
              </w:rPr>
              <w:t>Full 163-genre strategy and rare-tail routing</w:t>
            </w:r>
          </w:p>
        </w:tc>
        <w:tc>
          <w:tcPr>
            <w:tcW w:type="dxa" w:w="1656"/>
            <w:vAlign w:val="center"/>
          </w:tcPr>
          <w:p>
            <w:pPr>
              <w:spacing w:after="20"/>
            </w:pPr>
            <w:r>
              <w:rPr>
                <w:rFonts w:ascii="Arial" w:hAnsi="Arial"/>
                <w:sz w:val="12"/>
              </w:rPr>
              <w:t>1</w:t>
            </w:r>
          </w:p>
        </w:tc>
        <w:tc>
          <w:tcPr>
            <w:tcW w:type="dxa" w:w="1656"/>
            <w:vAlign w:val="center"/>
          </w:tcPr>
          <w:p>
            <w:pPr>
              <w:spacing w:after="20"/>
            </w:pPr>
            <w:r>
              <w:rPr>
                <w:rFonts w:ascii="Arial" w:hAnsi="Arial"/>
                <w:sz w:val="12"/>
              </w:rPr>
              <w:t>12</w:t>
            </w:r>
          </w:p>
        </w:tc>
        <w:tc>
          <w:tcPr>
            <w:tcW w:type="dxa" w:w="1656"/>
            <w:vAlign w:val="center"/>
          </w:tcPr>
          <w:p>
            <w:pPr>
              <w:spacing w:after="20"/>
            </w:pPr>
            <w:r>
              <w:rPr>
                <w:rFonts w:ascii="Arial" w:hAnsi="Arial"/>
                <w:sz w:val="12"/>
              </w:rPr>
              <w:t>19</w:t>
            </w:r>
          </w:p>
        </w:tc>
      </w:tr>
      <w:tr>
        <w:tc>
          <w:tcPr>
            <w:tcW w:type="dxa" w:w="1656"/>
            <w:vAlign w:val="center"/>
          </w:tcPr>
          <w:p>
            <w:pPr>
              <w:spacing w:after="20"/>
            </w:pPr>
            <w:r>
              <w:rPr>
                <w:rFonts w:ascii="Arial" w:hAnsi="Arial"/>
                <w:sz w:val="12"/>
              </w:rPr>
              <w:t>45</w:t>
            </w:r>
          </w:p>
        </w:tc>
        <w:tc>
          <w:tcPr>
            <w:tcW w:type="dxa" w:w="1656"/>
            <w:vAlign w:val="center"/>
          </w:tcPr>
          <w:p>
            <w:pPr>
              <w:spacing w:after="20"/>
            </w:pPr>
            <w:r>
              <w:rPr>
                <w:rFonts w:ascii="Arial" w:hAnsi="Arial"/>
                <w:sz w:val="12"/>
              </w:rPr>
              <w:t>45_full161_rare_tail_prototype_reranker.ipynb</w:t>
            </w:r>
          </w:p>
        </w:tc>
        <w:tc>
          <w:tcPr>
            <w:tcW w:type="dxa" w:w="1656"/>
            <w:vAlign w:val="center"/>
          </w:tcPr>
          <w:p>
            <w:pPr>
              <w:spacing w:after="20"/>
            </w:pPr>
            <w:r>
              <w:rPr>
                <w:rFonts w:ascii="Arial" w:hAnsi="Arial"/>
                <w:sz w:val="12"/>
              </w:rPr>
              <w:t>Full 163-genre strategy and rare-tail routing</w:t>
            </w:r>
          </w:p>
        </w:tc>
        <w:tc>
          <w:tcPr>
            <w:tcW w:type="dxa" w:w="1656"/>
            <w:vAlign w:val="center"/>
          </w:tcPr>
          <w:p>
            <w:pPr>
              <w:spacing w:after="20"/>
            </w:pPr>
            <w:r>
              <w:rPr>
                <w:rFonts w:ascii="Arial" w:hAnsi="Arial"/>
                <w:sz w:val="12"/>
              </w:rPr>
              <w:t>1</w:t>
            </w:r>
          </w:p>
        </w:tc>
        <w:tc>
          <w:tcPr>
            <w:tcW w:type="dxa" w:w="1656"/>
            <w:vAlign w:val="center"/>
          </w:tcPr>
          <w:p>
            <w:pPr>
              <w:spacing w:after="20"/>
            </w:pPr>
            <w:r>
              <w:rPr>
                <w:rFonts w:ascii="Arial" w:hAnsi="Arial"/>
                <w:sz w:val="12"/>
              </w:rPr>
              <w:t>18</w:t>
            </w:r>
          </w:p>
        </w:tc>
        <w:tc>
          <w:tcPr>
            <w:tcW w:type="dxa" w:w="1656"/>
            <w:vAlign w:val="center"/>
          </w:tcPr>
          <w:p>
            <w:pPr>
              <w:spacing w:after="20"/>
            </w:pPr>
            <w:r>
              <w:rPr>
                <w:rFonts w:ascii="Arial" w:hAnsi="Arial"/>
                <w:sz w:val="12"/>
              </w:rPr>
              <w:t>26</w:t>
            </w:r>
          </w:p>
        </w:tc>
      </w:tr>
      <w:tr>
        <w:tc>
          <w:tcPr>
            <w:tcW w:type="dxa" w:w="1656"/>
            <w:vAlign w:val="center"/>
          </w:tcPr>
          <w:p>
            <w:pPr>
              <w:spacing w:after="20"/>
            </w:pPr>
            <w:r>
              <w:rPr>
                <w:rFonts w:ascii="Arial" w:hAnsi="Arial"/>
                <w:sz w:val="12"/>
              </w:rPr>
              <w:t>46</w:t>
            </w:r>
          </w:p>
        </w:tc>
        <w:tc>
          <w:tcPr>
            <w:tcW w:type="dxa" w:w="1656"/>
            <w:vAlign w:val="center"/>
          </w:tcPr>
          <w:p>
            <w:pPr>
              <w:spacing w:after="20"/>
            </w:pPr>
            <w:r>
              <w:rPr>
                <w:rFonts w:ascii="Arial" w:hAnsi="Arial"/>
                <w:sz w:val="12"/>
              </w:rPr>
              <w:t>46_final_full_project_consolidation.ipynb</w:t>
            </w:r>
          </w:p>
        </w:tc>
        <w:tc>
          <w:tcPr>
            <w:tcW w:type="dxa" w:w="1656"/>
            <w:vAlign w:val="center"/>
          </w:tcPr>
          <w:p>
            <w:pPr>
              <w:spacing w:after="20"/>
            </w:pPr>
            <w:r>
              <w:rPr>
                <w:rFonts w:ascii="Arial" w:hAnsi="Arial"/>
                <w:sz w:val="12"/>
              </w:rPr>
              <w:t>Full 163-genre strategy and rare-tail routing</w:t>
            </w:r>
          </w:p>
        </w:tc>
        <w:tc>
          <w:tcPr>
            <w:tcW w:type="dxa" w:w="1656"/>
            <w:vAlign w:val="center"/>
          </w:tcPr>
          <w:p>
            <w:pPr>
              <w:spacing w:after="20"/>
            </w:pPr>
            <w:r>
              <w:rPr>
                <w:rFonts w:ascii="Arial" w:hAnsi="Arial"/>
                <w:sz w:val="12"/>
              </w:rPr>
              <w:t>1</w:t>
            </w:r>
          </w:p>
        </w:tc>
        <w:tc>
          <w:tcPr>
            <w:tcW w:type="dxa" w:w="1656"/>
            <w:vAlign w:val="center"/>
          </w:tcPr>
          <w:p>
            <w:pPr>
              <w:spacing w:after="20"/>
            </w:pPr>
            <w:r>
              <w:rPr>
                <w:rFonts w:ascii="Arial" w:hAnsi="Arial"/>
                <w:sz w:val="12"/>
              </w:rPr>
              <w:t>14</w:t>
            </w:r>
          </w:p>
        </w:tc>
        <w:tc>
          <w:tcPr>
            <w:tcW w:type="dxa" w:w="1656"/>
            <w:vAlign w:val="center"/>
          </w:tcPr>
          <w:p>
            <w:pPr>
              <w:spacing w:after="20"/>
            </w:pPr>
            <w:r>
              <w:rPr>
                <w:rFonts w:ascii="Arial" w:hAnsi="Arial"/>
                <w:sz w:val="12"/>
              </w:rPr>
              <w:t>22</w:t>
            </w:r>
          </w:p>
        </w:tc>
      </w:tr>
      <w:tr>
        <w:tc>
          <w:tcPr>
            <w:tcW w:type="dxa" w:w="1656"/>
            <w:vAlign w:val="center"/>
          </w:tcPr>
          <w:p>
            <w:pPr>
              <w:spacing w:after="20"/>
            </w:pPr>
            <w:r>
              <w:rPr>
                <w:rFonts w:ascii="Arial" w:hAnsi="Arial"/>
                <w:sz w:val="12"/>
              </w:rPr>
              <w:t>47</w:t>
            </w:r>
          </w:p>
        </w:tc>
        <w:tc>
          <w:tcPr>
            <w:tcW w:type="dxa" w:w="1656"/>
            <w:vAlign w:val="center"/>
          </w:tcPr>
          <w:p>
            <w:pPr>
              <w:spacing w:after="20"/>
            </w:pPr>
            <w:r>
              <w:rPr>
                <w:rFonts w:ascii="Arial" w:hAnsi="Arial"/>
                <w:sz w:val="12"/>
              </w:rPr>
              <w:t>47_final_audio_inference_pipeline.ipynb</w:t>
            </w:r>
          </w:p>
        </w:tc>
        <w:tc>
          <w:tcPr>
            <w:tcW w:type="dxa" w:w="1656"/>
            <w:vAlign w:val="center"/>
          </w:tcPr>
          <w:p>
            <w:pPr>
              <w:spacing w:after="20"/>
            </w:pPr>
            <w:r>
              <w:rPr>
                <w:rFonts w:ascii="Arial" w:hAnsi="Arial"/>
                <w:sz w:val="12"/>
              </w:rPr>
              <w:t>Final inference pipeline preparation</w:t>
            </w:r>
          </w:p>
        </w:tc>
        <w:tc>
          <w:tcPr>
            <w:tcW w:type="dxa" w:w="1656"/>
            <w:vAlign w:val="center"/>
          </w:tcPr>
          <w:p>
            <w:pPr>
              <w:spacing w:after="20"/>
            </w:pPr>
            <w:r>
              <w:rPr>
                <w:rFonts w:ascii="Arial" w:hAnsi="Arial"/>
                <w:sz w:val="12"/>
              </w:rPr>
              <w:t>1</w:t>
            </w:r>
          </w:p>
        </w:tc>
        <w:tc>
          <w:tcPr>
            <w:tcW w:type="dxa" w:w="1656"/>
            <w:vAlign w:val="center"/>
          </w:tcPr>
          <w:p>
            <w:pPr>
              <w:spacing w:after="20"/>
            </w:pPr>
            <w:r>
              <w:rPr>
                <w:rFonts w:ascii="Arial" w:hAnsi="Arial"/>
                <w:sz w:val="12"/>
              </w:rPr>
              <w:t>16</w:t>
            </w:r>
          </w:p>
        </w:tc>
        <w:tc>
          <w:tcPr>
            <w:tcW w:type="dxa" w:w="1656"/>
            <w:vAlign w:val="center"/>
          </w:tcPr>
          <w:p>
            <w:pPr>
              <w:spacing w:after="20"/>
            </w:pPr>
            <w:r>
              <w:rPr>
                <w:rFonts w:ascii="Arial" w:hAnsi="Arial"/>
                <w:sz w:val="12"/>
              </w:rPr>
              <w:t>23</w:t>
            </w:r>
          </w:p>
        </w:tc>
      </w:tr>
      <w:tr>
        <w:tc>
          <w:tcPr>
            <w:tcW w:type="dxa" w:w="1656"/>
            <w:vAlign w:val="center"/>
          </w:tcPr>
          <w:p>
            <w:pPr>
              <w:spacing w:after="20"/>
            </w:pPr>
            <w:r>
              <w:rPr>
                <w:rFonts w:ascii="Arial" w:hAnsi="Arial"/>
                <w:sz w:val="12"/>
              </w:rPr>
              <w:t>47</w:t>
            </w:r>
          </w:p>
        </w:tc>
        <w:tc>
          <w:tcPr>
            <w:tcW w:type="dxa" w:w="1656"/>
            <w:vAlign w:val="center"/>
          </w:tcPr>
          <w:p>
            <w:pPr>
              <w:spacing w:after="20"/>
            </w:pPr>
            <w:r>
              <w:rPr>
                <w:rFonts w:ascii="Arial" w:hAnsi="Arial"/>
                <w:sz w:val="12"/>
              </w:rPr>
              <w:t>47_final_audio_inference_pipeline_patched_multwindow_safe_stage2.ipynb</w:t>
            </w:r>
          </w:p>
        </w:tc>
        <w:tc>
          <w:tcPr>
            <w:tcW w:type="dxa" w:w="1656"/>
            <w:vAlign w:val="center"/>
          </w:tcPr>
          <w:p>
            <w:pPr>
              <w:spacing w:after="20"/>
            </w:pPr>
            <w:r>
              <w:rPr>
                <w:rFonts w:ascii="Arial" w:hAnsi="Arial"/>
                <w:sz w:val="12"/>
              </w:rPr>
              <w:t>Final inference pipeline preparation</w:t>
            </w:r>
          </w:p>
        </w:tc>
        <w:tc>
          <w:tcPr>
            <w:tcW w:type="dxa" w:w="1656"/>
            <w:vAlign w:val="center"/>
          </w:tcPr>
          <w:p>
            <w:pPr>
              <w:spacing w:after="20"/>
            </w:pPr>
            <w:r>
              <w:rPr>
                <w:rFonts w:ascii="Arial" w:hAnsi="Arial"/>
                <w:sz w:val="12"/>
              </w:rPr>
              <w:t>1</w:t>
            </w:r>
          </w:p>
        </w:tc>
        <w:tc>
          <w:tcPr>
            <w:tcW w:type="dxa" w:w="1656"/>
            <w:vAlign w:val="center"/>
          </w:tcPr>
          <w:p>
            <w:pPr>
              <w:spacing w:after="20"/>
            </w:pPr>
            <w:r>
              <w:rPr>
                <w:rFonts w:ascii="Arial" w:hAnsi="Arial"/>
                <w:sz w:val="12"/>
              </w:rPr>
              <w:t>16</w:t>
            </w:r>
          </w:p>
        </w:tc>
        <w:tc>
          <w:tcPr>
            <w:tcW w:type="dxa" w:w="1656"/>
            <w:vAlign w:val="center"/>
          </w:tcPr>
          <w:p>
            <w:pPr>
              <w:spacing w:after="20"/>
            </w:pPr>
            <w:r>
              <w:rPr>
                <w:rFonts w:ascii="Arial" w:hAnsi="Arial"/>
                <w:sz w:val="12"/>
              </w:rPr>
              <w:t>28</w:t>
            </w:r>
          </w:p>
        </w:tc>
      </w:tr>
      <w:tr>
        <w:tc>
          <w:tcPr>
            <w:tcW w:type="dxa" w:w="1656"/>
            <w:vAlign w:val="center"/>
          </w:tcPr>
          <w:p>
            <w:pPr>
              <w:spacing w:after="20"/>
            </w:pPr>
            <w:r>
              <w:rPr>
                <w:rFonts w:ascii="Arial" w:hAnsi="Arial"/>
                <w:sz w:val="12"/>
              </w:rPr>
              <w:t>48</w:t>
            </w:r>
          </w:p>
        </w:tc>
        <w:tc>
          <w:tcPr>
            <w:tcW w:type="dxa" w:w="1656"/>
            <w:vAlign w:val="center"/>
          </w:tcPr>
          <w:p>
            <w:pPr>
              <w:spacing w:after="20"/>
            </w:pPr>
            <w:r>
              <w:rPr>
                <w:rFonts w:ascii="Arial" w:hAnsi="Arial"/>
                <w:sz w:val="12"/>
              </w:rPr>
              <w:t>48_looped_audio_genre_prediction_with_confidence.ipynb</w:t>
            </w:r>
          </w:p>
        </w:tc>
        <w:tc>
          <w:tcPr>
            <w:tcW w:type="dxa" w:w="1656"/>
            <w:vAlign w:val="center"/>
          </w:tcPr>
          <w:p>
            <w:pPr>
              <w:spacing w:after="20"/>
            </w:pPr>
            <w:r>
              <w:rPr>
                <w:rFonts w:ascii="Arial" w:hAnsi="Arial"/>
                <w:sz w:val="12"/>
              </w:rPr>
              <w:t>Final inference pipeline preparation</w:t>
            </w:r>
          </w:p>
        </w:tc>
        <w:tc>
          <w:tcPr>
            <w:tcW w:type="dxa" w:w="1656"/>
            <w:vAlign w:val="center"/>
          </w:tcPr>
          <w:p>
            <w:pPr>
              <w:spacing w:after="20"/>
            </w:pPr>
            <w:r>
              <w:rPr>
                <w:rFonts w:ascii="Arial" w:hAnsi="Arial"/>
                <w:sz w:val="12"/>
              </w:rPr>
              <w:t>1</w:t>
            </w:r>
          </w:p>
        </w:tc>
        <w:tc>
          <w:tcPr>
            <w:tcW w:type="dxa" w:w="1656"/>
            <w:vAlign w:val="center"/>
          </w:tcPr>
          <w:p>
            <w:pPr>
              <w:spacing w:after="20"/>
            </w:pPr>
            <w:r>
              <w:rPr>
                <w:rFonts w:ascii="Arial" w:hAnsi="Arial"/>
                <w:sz w:val="12"/>
              </w:rPr>
              <w:t>19</w:t>
            </w:r>
          </w:p>
        </w:tc>
        <w:tc>
          <w:tcPr>
            <w:tcW w:type="dxa" w:w="1656"/>
            <w:vAlign w:val="center"/>
          </w:tcPr>
          <w:p>
            <w:pPr>
              <w:spacing w:after="20"/>
            </w:pPr>
            <w:r>
              <w:rPr>
                <w:rFonts w:ascii="Arial" w:hAnsi="Arial"/>
                <w:sz w:val="12"/>
              </w:rPr>
              <w:t>30</w:t>
            </w:r>
          </w:p>
        </w:tc>
      </w:tr>
      <w:tr>
        <w:tc>
          <w:tcPr>
            <w:tcW w:type="dxa" w:w="1656"/>
            <w:vAlign w:val="center"/>
          </w:tcPr>
          <w:p>
            <w:pPr>
              <w:spacing w:after="20"/>
            </w:pPr>
            <w:r>
              <w:rPr>
                <w:rFonts w:ascii="Arial" w:hAnsi="Arial"/>
                <w:sz w:val="12"/>
              </w:rPr>
              <w:t>49</w:t>
            </w:r>
          </w:p>
        </w:tc>
        <w:tc>
          <w:tcPr>
            <w:tcW w:type="dxa" w:w="1656"/>
            <w:vAlign w:val="center"/>
          </w:tcPr>
          <w:p>
            <w:pPr>
              <w:spacing w:after="20"/>
            </w:pPr>
            <w:r>
              <w:rPr>
                <w:rFonts w:ascii="Arial" w:hAnsi="Arial"/>
                <w:sz w:val="12"/>
              </w:rPr>
              <w:t>49_final_fma_test_split_batch_evaluation.ipynb</w:t>
            </w:r>
          </w:p>
        </w:tc>
        <w:tc>
          <w:tcPr>
            <w:tcW w:type="dxa" w:w="1656"/>
            <w:vAlign w:val="center"/>
          </w:tcPr>
          <w:p>
            <w:pPr>
              <w:spacing w:after="20"/>
            </w:pPr>
            <w:r>
              <w:rPr>
                <w:rFonts w:ascii="Arial" w:hAnsi="Arial"/>
                <w:sz w:val="12"/>
              </w:rPr>
              <w:t>Final internal FMA test evaluation</w:t>
            </w:r>
          </w:p>
        </w:tc>
        <w:tc>
          <w:tcPr>
            <w:tcW w:type="dxa" w:w="1656"/>
            <w:vAlign w:val="center"/>
          </w:tcPr>
          <w:p>
            <w:pPr>
              <w:spacing w:after="20"/>
            </w:pPr>
            <w:r>
              <w:rPr>
                <w:rFonts w:ascii="Arial" w:hAnsi="Arial"/>
                <w:sz w:val="12"/>
              </w:rPr>
              <w:t>2</w:t>
            </w:r>
          </w:p>
        </w:tc>
        <w:tc>
          <w:tcPr>
            <w:tcW w:type="dxa" w:w="1656"/>
            <w:vAlign w:val="center"/>
          </w:tcPr>
          <w:p>
            <w:pPr>
              <w:spacing w:after="20"/>
            </w:pPr>
            <w:r>
              <w:rPr>
                <w:rFonts w:ascii="Arial" w:hAnsi="Arial"/>
                <w:sz w:val="12"/>
              </w:rPr>
              <w:t>13</w:t>
            </w:r>
          </w:p>
        </w:tc>
        <w:tc>
          <w:tcPr>
            <w:tcW w:type="dxa" w:w="1656"/>
            <w:vAlign w:val="center"/>
          </w:tcPr>
          <w:p>
            <w:pPr>
              <w:spacing w:after="20"/>
            </w:pPr>
            <w:r>
              <w:rPr>
                <w:rFonts w:ascii="Arial" w:hAnsi="Arial"/>
                <w:sz w:val="12"/>
              </w:rPr>
              <w:t>0</w:t>
            </w:r>
          </w:p>
        </w:tc>
      </w:tr>
      <w:tr>
        <w:tc>
          <w:tcPr>
            <w:tcW w:type="dxa" w:w="1656"/>
            <w:vAlign w:val="center"/>
          </w:tcPr>
          <w:p>
            <w:pPr>
              <w:spacing w:after="20"/>
            </w:pPr>
            <w:r>
              <w:rPr>
                <w:rFonts w:ascii="Arial" w:hAnsi="Arial"/>
                <w:sz w:val="12"/>
              </w:rPr>
              <w:t>50</w:t>
            </w:r>
          </w:p>
        </w:tc>
        <w:tc>
          <w:tcPr>
            <w:tcW w:type="dxa" w:w="1656"/>
            <w:vAlign w:val="center"/>
          </w:tcPr>
          <w:p>
            <w:pPr>
              <w:spacing w:after="20"/>
            </w:pPr>
            <w:r>
              <w:rPr>
                <w:rFonts w:ascii="Arial" w:hAnsi="Arial"/>
                <w:sz w:val="12"/>
              </w:rPr>
              <w:t>50_external_song_batch_windowed_inference.ipynb</w:t>
            </w:r>
          </w:p>
        </w:tc>
        <w:tc>
          <w:tcPr>
            <w:tcW w:type="dxa" w:w="1656"/>
            <w:vAlign w:val="center"/>
          </w:tcPr>
          <w:p>
            <w:pPr>
              <w:spacing w:after="20"/>
            </w:pPr>
            <w:r>
              <w:rPr>
                <w:rFonts w:ascii="Arial" w:hAnsi="Arial"/>
                <w:sz w:val="12"/>
              </w:rPr>
              <w:t>External song batch evaluation</w:t>
            </w:r>
          </w:p>
        </w:tc>
        <w:tc>
          <w:tcPr>
            <w:tcW w:type="dxa" w:w="1656"/>
            <w:vAlign w:val="center"/>
          </w:tcPr>
          <w:p>
            <w:pPr>
              <w:spacing w:after="20"/>
            </w:pPr>
            <w:r>
              <w:rPr>
                <w:rFonts w:ascii="Arial" w:hAnsi="Arial"/>
                <w:sz w:val="12"/>
              </w:rPr>
              <w:t>2</w:t>
            </w:r>
          </w:p>
        </w:tc>
        <w:tc>
          <w:tcPr>
            <w:tcW w:type="dxa" w:w="1656"/>
            <w:vAlign w:val="center"/>
          </w:tcPr>
          <w:p>
            <w:pPr>
              <w:spacing w:after="20"/>
            </w:pPr>
            <w:r>
              <w:rPr>
                <w:rFonts w:ascii="Arial" w:hAnsi="Arial"/>
                <w:sz w:val="12"/>
              </w:rPr>
              <w:t>10</w:t>
            </w:r>
          </w:p>
        </w:tc>
        <w:tc>
          <w:tcPr>
            <w:tcW w:type="dxa" w:w="1656"/>
            <w:vAlign w:val="center"/>
          </w:tcPr>
          <w:p>
            <w:pPr>
              <w:spacing w:after="20"/>
            </w:pPr>
            <w:r>
              <w:rPr>
                <w:rFonts w:ascii="Arial" w:hAnsi="Arial"/>
                <w:sz w:val="12"/>
              </w:rPr>
              <w:t>0</w:t>
            </w:r>
          </w:p>
        </w:tc>
      </w:tr>
    </w:tbl>
    <w:p>
      <w:r>
        <w:rPr>
          <w:rFonts w:ascii="Arial" w:hAnsi="Arial"/>
          <w:b w:val="0"/>
          <w:i w:val="0"/>
          <w:sz w:val="21"/>
        </w:rPr>
        <w:t>The register records all notebook code artefacts in the repository. Some notebooks are exploratory by design, while notebooks 49 and 50 provide the final evaluation outputs used in the technical and management reports.</w:t>
      </w:r>
    </w:p>
    <w:sectPr w:rsidR="00FC693F" w:rsidRPr="0006063C" w:rsidSect="00034616">
      <w:headerReference w:type="default" r:id="rId9"/>
      <w:footerReference w:type="default" r:id="rId10"/>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5A5A5A"/>
        <w:sz w:val="16"/>
      </w:rPr>
      <w:t>Julian Devonish | Code Documentation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5A5A5A"/>
        <w:sz w:val="16"/>
      </w:rPr>
      <w:t>FMA Music Genre Classification Capstone | Code Documentation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