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jc w:val="center"/>
      </w:pPr>
      <w:r>
        <w:rPr>
          <w:b/>
          <w:bCs/>
          <w:color w:val="1F3864"/>
          <w:sz w:val="64"/>
          <w:szCs w:val="64"/>
        </w:rPr>
        <w:t xml:space="preserve">NOVA</w:t>
      </w:r>
    </w:p>
    <w:p>
      <w:pPr>
        <w:spacing w:after="60"/>
        <w:jc w:val="center"/>
      </w:pPr>
      <w:r>
        <w:rPr>
          <w:b/>
          <w:bCs/>
          <w:color w:val="595959"/>
          <w:sz w:val="28"/>
          <w:szCs w:val="28"/>
        </w:rPr>
        <w:t xml:space="preserve">TOGAF Architecture Conformance Assessment</w:t>
      </w:r>
    </w:p>
    <w:p>
      <w:pPr>
        <w:spacing w:after="200"/>
        <w:jc w:val="center"/>
      </w:pPr>
      <w:r>
        <w:rPr>
          <w:i/>
          <w:iCs/>
          <w:color w:val="595959"/>
          <w:sz w:val="20"/>
          <w:szCs w:val="20"/>
        </w:rPr>
        <w:t xml:space="preserve">How the project aligns with the TOGAF Standard, and the gaps worth closing</w:t>
      </w:r>
    </w:p>
    <w:p>
      <w:pPr>
        <w:spacing w:after="20"/>
        <w:jc w:val="center"/>
      </w:pPr>
      <w:r>
        <w:rPr>
          <w:sz w:val="20"/>
          <w:szCs w:val="20"/>
        </w:rPr>
        <w:t xml:space="preserve">Version 1.2  ·  31 July 2026</w:t>
      </w:r>
    </w:p>
    <w:p>
      <w:pPr>
        <w:spacing w:after="20"/>
        <w:jc w:val="center"/>
      </w:pPr>
      <w:r>
        <w:rPr>
          <w:sz w:val="20"/>
          <w:szCs w:val="20"/>
        </w:rPr>
        <w:t xml:space="preserve">Owner: John Duchock   ·   Prepared by: Claude</w:t>
      </w:r>
    </w:p>
    <w:p>
      <w:pPr>
        <w:spacing w:after="200"/>
        <w:jc w:val="center"/>
      </w:pPr>
      <w:r>
        <w:rPr>
          <w:i/>
          <w:iCs/>
          <w:color w:val="595959"/>
          <w:sz w:val="18"/>
          <w:szCs w:val="18"/>
        </w:rPr>
        <w:t xml:space="preserve">Formerly “Claudette.” Now Nova; code package and document filenames are renamed in a later pass (D19).</w:t>
      </w:r>
    </w:p>
    <w:p>
      <w:r>
        <w:br w:type="page"/>
      </w:r>
    </w:p>
    <w:p>
      <w:pPr>
        <w:pStyle w:val="Heading1"/>
        <w:spacing w:after="120" w:before="280"/>
      </w:pPr>
      <w:r>
        <w:rPr>
          <w:b/>
          <w:bCs/>
          <w:color w:val="1F386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80"/>
      </w:pPr>
      <w:r>
        <w:rPr>
          <w:b/>
          <w:bCs/>
          <w:color w:val="1F3864"/>
        </w:rPr>
        <w:t xml:space="preserve">1. Purpose &amp; Scope</w:t>
      </w:r>
    </w:p>
    <w:p>
      <w:pPr>
        <w:spacing w:after="140"/>
      </w:pPr>
      <w:r>
        <w:t xml:space="preserve">This document assesses the Nova project — an always-on Android voice companion (wake word “Nova,” Anthropic Claude for reasoning, ElevenLabs for voice) — against the TOGAF Standard, 10th Edition. Its aim is twofold: to record where the project already exhibits sound enterprise-architecture practice, and to surface the gaps worth closing as the project matures.</w:t>
      </w:r>
    </w:p>
    <w:p>
      <w:pPr>
        <w:spacing w:after="140"/>
      </w:pPr>
      <w:r>
        <w:t xml:space="preserve">Since the first version of this assessment, the project has grown substantially: Nova now keeps persistent, encrypted memory of the user; she can call tools mid-conversation — the capability behind a store-inventory demonstration mode built to pitch a hands-free retail assistant to leadership, plus on-demand location awareness and a nearby-places lookup; and she has a vision path (John can hand her a photo and she describes it). Two further integrations — Microsoft 365 (Teams/Outlook) and bank/expense access — were deliberately parked pending approvals and design (decisions D20 and D21), itself a healthy instance of conscious deferral. The demonstration is explicitly a proof-of-concept; if it wins funding, a separate, larger project would follow — the first real signal that some previously deferred business-architecture items may soon be worth revisiting.</w:t>
      </w:r>
    </w:p>
    <w:p>
      <w:pPr>
        <w:spacing w:after="140"/>
      </w:pPr>
      <w:r>
        <w:t xml:space="preserve">A necessary caveat frames everything that follows. TOGAF is an enterprise-architecture framework designed for organisations with many stakeholders, systems and governance bodies. Nova is, today, a single-owner mobile application. Full-weight TOGAF conformance is neither expected nor desirable here; the value of the assessment is in borrowing the discipline of the framework — its checklist of concerns — and applying a right-sized version of each. Recommendations are deliberately proportionate to a solo project, and several TOGAF activities are explicitly flagged as optional at this scale.</w:t>
      </w:r>
    </w:p>
    <w:p>
      <w:pPr>
        <w:spacing w:after="140"/>
      </w:pPr>
      <w:r>
        <w:t xml:space="preserve">The assessment draws on the project’s existing artifacts: the technical &amp; functional specification, the running project log (including the security threat register S1–S16 and the decision record D1–D22), the defined technology stack, and the phased delivery roadmap.</w:t>
      </w:r>
    </w:p>
    <w:p>
      <w:pPr>
        <w:pStyle w:val="Heading1"/>
        <w:spacing w:after="120" w:before="280"/>
      </w:pPr>
      <w:r>
        <w:rPr>
          <w:b/>
          <w:bCs/>
          <w:color w:val="1F3864"/>
        </w:rPr>
        <w:t xml:space="preserve">2. TOGAF in Brief</w:t>
      </w:r>
    </w:p>
    <w:p>
      <w:pPr>
        <w:spacing w:after="140"/>
      </w:pPr>
      <w:r>
        <w:t xml:space="preserve">TOGAF organises architecture work in two complementary ways. First, it divides an architecture into four domains — Business, Data (Information), Application, and Technology. Second, it prescribes an iterative method, the Architecture Development Method (ADM), whose phases move from establishing an architecture capability, through vision and the four domains, into planning, governance and change management, with Requirements Management running continuously at the centre. This document evaluates Nova against both lenses, then consolidates the findings into a prioritised gap list.</w:t>
      </w:r>
    </w:p>
    <w:p>
      <w:pPr>
        <w:pStyle w:val="Heading1"/>
        <w:spacing w:after="120" w:before="280"/>
      </w:pPr>
      <w:r>
        <w:rPr>
          <w:b/>
          <w:bCs/>
          <w:color w:val="1F3864"/>
        </w:rPr>
        <w:t xml:space="preserve">3. Adherence by Architecture Domain</w:t>
      </w:r>
    </w:p>
    <w:p>
      <w:pPr>
        <w:spacing w:after="140"/>
      </w:pPr>
      <w:r>
        <w:t xml:space="preserve">The four TOGAF domains map onto what the project has produced. Ratings: Strong, Partial, Minimal, None.</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4560"/>
        <w:gridCol w:w="900"/>
        <w:gridCol w:w="2400"/>
      </w:tblGrid>
      <w:tr>
        <w:trPr>
          <w:tblHeader/>
        </w:trPr>
        <w:tc>
          <w:tcPr>
            <w:tcW w:type="dxa" w:w="1500"/>
            <w:shd w:fill="1F3864" w:color="auto" w:val="clear"/>
            <w:tcMar>
              <w:top w:type="dxa" w:w="60"/>
              <w:left w:type="dxa" w:w="100"/>
              <w:bottom w:type="dxa" w:w="60"/>
              <w:right w:type="dxa" w:w="100"/>
            </w:tcMar>
          </w:tcPr>
          <w:p>
            <w:r>
              <w:rPr>
                <w:b/>
                <w:bCs/>
                <w:color w:val="FFFFFF"/>
              </w:rPr>
              <w:t xml:space="preserve">Domain</w:t>
            </w:r>
          </w:p>
        </w:tc>
        <w:tc>
          <w:tcPr>
            <w:tcW w:type="dxa" w:w="4560"/>
            <w:shd w:fill="1F3864" w:color="auto" w:val="clear"/>
            <w:tcMar>
              <w:top w:type="dxa" w:w="60"/>
              <w:left w:type="dxa" w:w="100"/>
              <w:bottom w:type="dxa" w:w="60"/>
              <w:right w:type="dxa" w:w="100"/>
            </w:tcMar>
          </w:tcPr>
          <w:p>
            <w:r>
              <w:rPr>
                <w:b/>
                <w:bCs/>
                <w:color w:val="FFFFFF"/>
              </w:rPr>
              <w:t xml:space="preserve">What Nova has today</w:t>
            </w:r>
          </w:p>
        </w:tc>
        <w:tc>
          <w:tcPr>
            <w:tcW w:type="dxa" w:w="900"/>
            <w:shd w:fill="1F3864" w:color="auto" w:val="clear"/>
            <w:tcMar>
              <w:top w:type="dxa" w:w="60"/>
              <w:left w:type="dxa" w:w="100"/>
              <w:bottom w:type="dxa" w:w="60"/>
              <w:right w:type="dxa" w:w="100"/>
            </w:tcMar>
          </w:tcPr>
          <w:p>
            <w:r>
              <w:rPr>
                <w:b/>
                <w:bCs/>
                <w:color w:val="FFFFFF"/>
              </w:rPr>
              <w:t xml:space="preserve">Rating</w:t>
            </w:r>
          </w:p>
        </w:tc>
        <w:tc>
          <w:tcPr>
            <w:tcW w:type="dxa" w:w="2400"/>
            <w:shd w:fill="1F3864" w:color="auto" w:val="clear"/>
            <w:tcMar>
              <w:top w:type="dxa" w:w="60"/>
              <w:left w:type="dxa" w:w="100"/>
              <w:bottom w:type="dxa" w:w="60"/>
              <w:right w:type="dxa" w:w="100"/>
            </w:tcMar>
          </w:tcPr>
          <w:p>
            <w:r>
              <w:rPr>
                <w:b/>
                <w:bCs/>
                <w:color w:val="FFFFFF"/>
              </w:rPr>
              <w:t xml:space="preserve">Principal gap</w:t>
            </w:r>
          </w:p>
        </w:tc>
      </w:tr>
      <w:tr>
        <w:tc>
          <w:tcPr>
            <w:tcW w:type="dxa" w:w="1500"/>
            <w:tcMar>
              <w:top w:type="dxa" w:w="60"/>
              <w:left w:type="dxa" w:w="100"/>
              <w:bottom w:type="dxa" w:w="60"/>
              <w:right w:type="dxa" w:w="100"/>
            </w:tcMar>
          </w:tcPr>
          <w:p>
            <w:r>
              <w:rPr>
                <w:b w:val="false"/>
                <w:bCs w:val="false"/>
              </w:rPr>
              <w:t xml:space="preserve">Business</w:t>
            </w:r>
          </w:p>
        </w:tc>
        <w:tc>
          <w:tcPr>
            <w:tcW w:type="dxa" w:w="4560"/>
            <w:tcMar>
              <w:top w:type="dxa" w:w="60"/>
              <w:left w:type="dxa" w:w="100"/>
              <w:bottom w:type="dxa" w:w="60"/>
              <w:right w:type="dxa" w:w="100"/>
            </w:tcMar>
          </w:tcPr>
          <w:p>
            <w:r>
              <w:rPr>
                <w:b w:val="false"/>
                <w:bCs w:val="false"/>
              </w:rPr>
              <w:t xml:space="preserve">A clear product vision and primary use case (hands-free Q&amp;A / companion), a single actor (the owner), and — new — a demonstrable retail-assistant use case aimed at securing funding. Non-functional intents stated (always-on, low latency, humour).</w:t>
            </w:r>
          </w:p>
        </w:tc>
        <w:tc>
          <w:tcPr>
            <w:tcW w:type="dxa" w:w="900"/>
            <w:tcMar>
              <w:top w:type="dxa" w:w="60"/>
              <w:left w:type="dxa" w:w="100"/>
              <w:bottom w:type="dxa" w:w="60"/>
              <w:right w:type="dxa" w:w="100"/>
            </w:tcMar>
          </w:tcPr>
          <w:p>
            <w:r>
              <w:rPr>
                <w:b w:val="false"/>
                <w:bCs w:val="false"/>
              </w:rPr>
              <w:t xml:space="preserve">Partial</w:t>
            </w:r>
          </w:p>
        </w:tc>
        <w:tc>
          <w:tcPr>
            <w:tcW w:type="dxa" w:w="2400"/>
            <w:tcMar>
              <w:top w:type="dxa" w:w="60"/>
              <w:left w:type="dxa" w:w="100"/>
              <w:bottom w:type="dxa" w:w="60"/>
              <w:right w:type="dxa" w:w="100"/>
            </w:tcMar>
          </w:tcPr>
          <w:p>
            <w:r>
              <w:rPr>
                <w:b w:val="false"/>
                <w:bCs w:val="false"/>
              </w:rPr>
              <w:t xml:space="preserve">Business scenarios, value/success measures, and a cost-of-operation model still informal — now more relevant given the funding pitch.</w:t>
            </w:r>
          </w:p>
        </w:tc>
      </w:tr>
      <w:tr>
        <w:tc>
          <w:tcPr>
            <w:tcW w:type="dxa" w:w="1500"/>
            <w:tcMar>
              <w:top w:type="dxa" w:w="60"/>
              <w:left w:type="dxa" w:w="100"/>
              <w:bottom w:type="dxa" w:w="60"/>
              <w:right w:type="dxa" w:w="100"/>
            </w:tcMar>
          </w:tcPr>
          <w:p>
            <w:r>
              <w:rPr>
                <w:b w:val="false"/>
                <w:bCs w:val="false"/>
              </w:rPr>
              <w:t xml:space="preserve">Data / Information</w:t>
            </w:r>
          </w:p>
        </w:tc>
        <w:tc>
          <w:tcPr>
            <w:tcW w:type="dxa" w:w="4560"/>
            <w:tcMar>
              <w:top w:type="dxa" w:w="60"/>
              <w:left w:type="dxa" w:w="100"/>
              <w:bottom w:type="dxa" w:w="60"/>
              <w:right w:type="dxa" w:w="100"/>
            </w:tcMar>
          </w:tcPr>
          <w:p>
            <w:r>
              <w:rPr>
                <w:b w:val="false"/>
                <w:bCs w:val="false"/>
              </w:rPr>
              <w:t xml:space="preserve">Documented data flow (audio → STT → LLM → TTS), encrypted key storage, and now an encrypted long-term memory store (profile + rolling summary) with a distill-don’t-persist-raw stance. Photos John feeds Nova are stored locally (sandboxed) and analyzed on demand. Demo uses a bundled synthetic dataset.</w:t>
            </w:r>
          </w:p>
        </w:tc>
        <w:tc>
          <w:tcPr>
            <w:tcW w:type="dxa" w:w="900"/>
            <w:tcMar>
              <w:top w:type="dxa" w:w="60"/>
              <w:left w:type="dxa" w:w="100"/>
              <w:bottom w:type="dxa" w:w="60"/>
              <w:right w:type="dxa" w:w="100"/>
            </w:tcMar>
          </w:tcPr>
          <w:p>
            <w:r>
              <w:rPr>
                <w:b w:val="false"/>
                <w:bCs w:val="false"/>
              </w:rPr>
              <w:t xml:space="preserve">Partial</w:t>
            </w:r>
          </w:p>
        </w:tc>
        <w:tc>
          <w:tcPr>
            <w:tcW w:type="dxa" w:w="2400"/>
            <w:tcMar>
              <w:top w:type="dxa" w:w="60"/>
              <w:left w:type="dxa" w:w="100"/>
              <w:bottom w:type="dxa" w:w="60"/>
              <w:right w:type="dxa" w:w="100"/>
            </w:tcMar>
          </w:tcPr>
          <w:p>
            <w:r>
              <w:rPr>
                <w:b w:val="false"/>
                <w:bCs w:val="false"/>
              </w:rPr>
              <w:t xml:space="preserve">No data-entity/classification catalogue or explicit retention/privacy artifact; memory retention rules should be written down.</w:t>
            </w:r>
          </w:p>
        </w:tc>
      </w:tr>
      <w:tr>
        <w:tc>
          <w:tcPr>
            <w:tcW w:type="dxa" w:w="1500"/>
            <w:tcMar>
              <w:top w:type="dxa" w:w="60"/>
              <w:left w:type="dxa" w:w="100"/>
              <w:bottom w:type="dxa" w:w="60"/>
              <w:right w:type="dxa" w:w="100"/>
            </w:tcMar>
          </w:tcPr>
          <w:p>
            <w:r>
              <w:rPr>
                <w:b w:val="false"/>
                <w:bCs w:val="false"/>
              </w:rPr>
              <w:t xml:space="preserve">Application</w:t>
            </w:r>
          </w:p>
        </w:tc>
        <w:tc>
          <w:tcPr>
            <w:tcW w:type="dxa" w:w="4560"/>
            <w:tcMar>
              <w:top w:type="dxa" w:w="60"/>
              <w:left w:type="dxa" w:w="100"/>
              <w:bottom w:type="dxa" w:w="60"/>
              <w:right w:type="dxa" w:w="100"/>
            </w:tcMar>
          </w:tcPr>
          <w:p>
            <w:r>
              <w:rPr>
                <w:b w:val="false"/>
                <w:bCs w:val="false"/>
              </w:rPr>
              <w:t xml:space="preserve">Modular, well-separated components (wake-word service, detector seam, STT/LLM/TTS clients, conversation manager) plus tool-use, an inventory query engine, a memory subsystem, on-demand location and nearby-places, and a vision path — each a clean extension point.</w:t>
            </w:r>
          </w:p>
        </w:tc>
        <w:tc>
          <w:tcPr>
            <w:tcW w:type="dxa" w:w="900"/>
            <w:tcMar>
              <w:top w:type="dxa" w:w="60"/>
              <w:left w:type="dxa" w:w="100"/>
              <w:bottom w:type="dxa" w:w="60"/>
              <w:right w:type="dxa" w:w="100"/>
            </w:tcMar>
          </w:tcPr>
          <w:p>
            <w:r>
              <w:rPr>
                <w:b w:val="false"/>
                <w:bCs w:val="false"/>
              </w:rPr>
              <w:t xml:space="preserve">Strong</w:t>
            </w:r>
          </w:p>
        </w:tc>
        <w:tc>
          <w:tcPr>
            <w:tcW w:type="dxa" w:w="2400"/>
            <w:tcMar>
              <w:top w:type="dxa" w:w="60"/>
              <w:left w:type="dxa" w:w="100"/>
              <w:bottom w:type="dxa" w:w="60"/>
              <w:right w:type="dxa" w:w="100"/>
            </w:tcMar>
          </w:tcPr>
          <w:p>
            <w:r>
              <w:rPr>
                <w:b w:val="false"/>
                <w:bCs w:val="false"/>
              </w:rPr>
              <w:t xml:space="preserve">No formal component/interface catalogue or application-communication diagram.</w:t>
            </w:r>
          </w:p>
        </w:tc>
      </w:tr>
      <w:tr>
        <w:tc>
          <w:tcPr>
            <w:tcW w:type="dxa" w:w="1500"/>
            <w:tcMar>
              <w:top w:type="dxa" w:w="60"/>
              <w:left w:type="dxa" w:w="100"/>
              <w:bottom w:type="dxa" w:w="60"/>
              <w:right w:type="dxa" w:w="100"/>
            </w:tcMar>
          </w:tcPr>
          <w:p>
            <w:r>
              <w:rPr>
                <w:b w:val="false"/>
                <w:bCs w:val="false"/>
              </w:rPr>
              <w:t xml:space="preserve">Technology</w:t>
            </w:r>
          </w:p>
        </w:tc>
        <w:tc>
          <w:tcPr>
            <w:tcW w:type="dxa" w:w="4560"/>
            <w:tcMar>
              <w:top w:type="dxa" w:w="60"/>
              <w:left w:type="dxa" w:w="100"/>
              <w:bottom w:type="dxa" w:w="60"/>
              <w:right w:type="dxa" w:w="100"/>
            </w:tcMar>
          </w:tcPr>
          <w:p>
            <w:r>
              <w:rPr>
                <w:b w:val="false"/>
                <w:bCs w:val="false"/>
              </w:rPr>
              <w:t xml:space="preserve">A pinned stack, target platform (Android), runtime model (foreground service + wake lock), named external services (now including Google Play Services location and Google Places), and on-device ONNX wake detection working.</w:t>
            </w:r>
          </w:p>
        </w:tc>
        <w:tc>
          <w:tcPr>
            <w:tcW w:type="dxa" w:w="900"/>
            <w:tcMar>
              <w:top w:type="dxa" w:w="60"/>
              <w:left w:type="dxa" w:w="100"/>
              <w:bottom w:type="dxa" w:w="60"/>
              <w:right w:type="dxa" w:w="100"/>
            </w:tcMar>
          </w:tcPr>
          <w:p>
            <w:r>
              <w:rPr>
                <w:b w:val="false"/>
                <w:bCs w:val="false"/>
              </w:rPr>
              <w:t xml:space="preserve">Strong</w:t>
            </w:r>
          </w:p>
        </w:tc>
        <w:tc>
          <w:tcPr>
            <w:tcW w:type="dxa" w:w="2400"/>
            <w:tcMar>
              <w:top w:type="dxa" w:w="60"/>
              <w:left w:type="dxa" w:w="100"/>
              <w:bottom w:type="dxa" w:w="60"/>
              <w:right w:type="dxa" w:w="100"/>
            </w:tcMar>
          </w:tcPr>
          <w:p>
            <w:r>
              <w:rPr>
                <w:b w:val="false"/>
                <w:bCs w:val="false"/>
              </w:rPr>
              <w:t xml:space="preserve">No technology-standards catalogue, environments/deployment spec, or explicit performance (latency) budget.</w:t>
            </w:r>
          </w:p>
        </w:tc>
      </w:tr>
    </w:tbl>
    <w:p>
      <w:pPr>
        <w:pStyle w:val="Heading1"/>
        <w:spacing w:after="120" w:before="280"/>
      </w:pPr>
      <w:r>
        <w:rPr>
          <w:b/>
          <w:bCs/>
          <w:color w:val="1F3864"/>
        </w:rPr>
        <w:t xml:space="preserve">4. Adherence by ADM Phase</w:t>
      </w:r>
    </w:p>
    <w:p>
      <w:pPr>
        <w:spacing w:after="140"/>
      </w:pPr>
      <w:r>
        <w:t xml:space="preserve">The Architecture Development Method provides the process checklist. For each phase, the table records the project evidence, a conformance rating, and the specific gap.</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550"/>
        <w:gridCol w:w="4360"/>
        <w:gridCol w:w="850"/>
        <w:gridCol w:w="2600"/>
      </w:tblGrid>
      <w:tr>
        <w:trPr>
          <w:tblHeader/>
        </w:trPr>
        <w:tc>
          <w:tcPr>
            <w:tcW w:type="dxa" w:w="1550"/>
            <w:shd w:fill="1F3864" w:color="auto" w:val="clear"/>
            <w:tcMar>
              <w:top w:type="dxa" w:w="60"/>
              <w:left w:type="dxa" w:w="100"/>
              <w:bottom w:type="dxa" w:w="60"/>
              <w:right w:type="dxa" w:w="100"/>
            </w:tcMar>
          </w:tcPr>
          <w:p>
            <w:r>
              <w:rPr>
                <w:b/>
                <w:bCs/>
                <w:color w:val="FFFFFF"/>
              </w:rPr>
              <w:t xml:space="preserve">ADM phase</w:t>
            </w:r>
          </w:p>
        </w:tc>
        <w:tc>
          <w:tcPr>
            <w:tcW w:type="dxa" w:w="4360"/>
            <w:shd w:fill="1F3864" w:color="auto" w:val="clear"/>
            <w:tcMar>
              <w:top w:type="dxa" w:w="60"/>
              <w:left w:type="dxa" w:w="100"/>
              <w:bottom w:type="dxa" w:w="60"/>
              <w:right w:type="dxa" w:w="100"/>
            </w:tcMar>
          </w:tcPr>
          <w:p>
            <w:r>
              <w:rPr>
                <w:b/>
                <w:bCs/>
                <w:color w:val="FFFFFF"/>
              </w:rPr>
              <w:t xml:space="preserve">Evidence in the project</w:t>
            </w:r>
          </w:p>
        </w:tc>
        <w:tc>
          <w:tcPr>
            <w:tcW w:type="dxa" w:w="850"/>
            <w:shd w:fill="1F3864" w:color="auto" w:val="clear"/>
            <w:tcMar>
              <w:top w:type="dxa" w:w="60"/>
              <w:left w:type="dxa" w:w="100"/>
              <w:bottom w:type="dxa" w:w="60"/>
              <w:right w:type="dxa" w:w="100"/>
            </w:tcMar>
          </w:tcPr>
          <w:p>
            <w:r>
              <w:rPr>
                <w:b/>
                <w:bCs/>
                <w:color w:val="FFFFFF"/>
              </w:rPr>
              <w:t xml:space="preserve">Rating</w:t>
            </w:r>
          </w:p>
        </w:tc>
        <w:tc>
          <w:tcPr>
            <w:tcW w:type="dxa" w:w="2600"/>
            <w:shd w:fill="1F3864" w:color="auto" w:val="clear"/>
            <w:tcMar>
              <w:top w:type="dxa" w:w="60"/>
              <w:left w:type="dxa" w:w="100"/>
              <w:bottom w:type="dxa" w:w="60"/>
              <w:right w:type="dxa" w:w="100"/>
            </w:tcMar>
          </w:tcPr>
          <w:p>
            <w:r>
              <w:rPr>
                <w:b/>
                <w:bCs/>
                <w:color w:val="FFFFFF"/>
              </w:rPr>
              <w:t xml:space="preserve">Gap to consider</w:t>
            </w:r>
          </w:p>
        </w:tc>
      </w:tr>
      <w:tr>
        <w:tc>
          <w:tcPr>
            <w:tcW w:type="dxa" w:w="1550"/>
            <w:tcMar>
              <w:top w:type="dxa" w:w="60"/>
              <w:left w:type="dxa" w:w="100"/>
              <w:bottom w:type="dxa" w:w="60"/>
              <w:right w:type="dxa" w:w="100"/>
            </w:tcMar>
          </w:tcPr>
          <w:p>
            <w:r>
              <w:rPr>
                <w:b w:val="false"/>
                <w:bCs w:val="false"/>
              </w:rPr>
              <w:t xml:space="preserve">Preliminary</w:t>
            </w:r>
          </w:p>
        </w:tc>
        <w:tc>
          <w:tcPr>
            <w:tcW w:type="dxa" w:w="4360"/>
            <w:tcMar>
              <w:top w:type="dxa" w:w="60"/>
              <w:left w:type="dxa" w:w="100"/>
              <w:bottom w:type="dxa" w:w="60"/>
              <w:right w:type="dxa" w:w="100"/>
            </w:tcMar>
          </w:tcPr>
          <w:p>
            <w:r>
              <w:rPr>
                <w:b w:val="false"/>
                <w:bCs w:val="false"/>
              </w:rPr>
              <w:t xml:space="preserve">Implicit principles (privacy-first, on-device-first, modular, cost-aware, encrypt-sensitive-data) visible in decisions.</w:t>
            </w:r>
          </w:p>
        </w:tc>
        <w:tc>
          <w:tcPr>
            <w:tcW w:type="dxa" w:w="850"/>
            <w:tcMar>
              <w:top w:type="dxa" w:w="60"/>
              <w:left w:type="dxa" w:w="100"/>
              <w:bottom w:type="dxa" w:w="60"/>
              <w:right w:type="dxa" w:w="100"/>
            </w:tcMar>
          </w:tcPr>
          <w:p>
            <w:r>
              <w:rPr>
                <w:b w:val="false"/>
                <w:bCs w:val="false"/>
              </w:rPr>
              <w:t xml:space="preserve">Minimal</w:t>
            </w:r>
          </w:p>
        </w:tc>
        <w:tc>
          <w:tcPr>
            <w:tcW w:type="dxa" w:w="2600"/>
            <w:tcMar>
              <w:top w:type="dxa" w:w="60"/>
              <w:left w:type="dxa" w:w="100"/>
              <w:bottom w:type="dxa" w:w="60"/>
              <w:right w:type="dxa" w:w="100"/>
            </w:tcMar>
          </w:tcPr>
          <w:p>
            <w:r>
              <w:rPr>
                <w:b w:val="false"/>
                <w:bCs w:val="false"/>
              </w:rPr>
              <w:t xml:space="preserve">Write these down as an explicit Architecture Principles list.</w:t>
            </w:r>
          </w:p>
        </w:tc>
      </w:tr>
      <w:tr>
        <w:tc>
          <w:tcPr>
            <w:tcW w:type="dxa" w:w="1550"/>
            <w:tcMar>
              <w:top w:type="dxa" w:w="60"/>
              <w:left w:type="dxa" w:w="100"/>
              <w:bottom w:type="dxa" w:w="60"/>
              <w:right w:type="dxa" w:w="100"/>
            </w:tcMar>
          </w:tcPr>
          <w:p>
            <w:r>
              <w:rPr>
                <w:b w:val="false"/>
                <w:bCs w:val="false"/>
              </w:rPr>
              <w:t xml:space="preserve">A — Vision</w:t>
            </w:r>
          </w:p>
        </w:tc>
        <w:tc>
          <w:tcPr>
            <w:tcW w:type="dxa" w:w="4360"/>
            <w:tcMar>
              <w:top w:type="dxa" w:w="60"/>
              <w:left w:type="dxa" w:w="100"/>
              <w:bottom w:type="dxa" w:w="60"/>
              <w:right w:type="dxa" w:w="100"/>
            </w:tcMar>
          </w:tcPr>
          <w:p>
            <w:r>
              <w:rPr>
                <w:b w:val="false"/>
                <w:bCs w:val="false"/>
              </w:rPr>
              <w:t xml:space="preserve">Strong, specific vision and scope; goals and non-goals recorded; a concrete demo target.</w:t>
            </w:r>
          </w:p>
        </w:tc>
        <w:tc>
          <w:tcPr>
            <w:tcW w:type="dxa" w:w="850"/>
            <w:tcMar>
              <w:top w:type="dxa" w:w="60"/>
              <w:left w:type="dxa" w:w="100"/>
              <w:bottom w:type="dxa" w:w="60"/>
              <w:right w:type="dxa" w:w="100"/>
            </w:tcMar>
          </w:tcPr>
          <w:p>
            <w:r>
              <w:rPr>
                <w:b w:val="false"/>
                <w:bCs w:val="false"/>
              </w:rPr>
              <w:t xml:space="preserve">Strong</w:t>
            </w:r>
          </w:p>
        </w:tc>
        <w:tc>
          <w:tcPr>
            <w:tcW w:type="dxa" w:w="2600"/>
            <w:tcMar>
              <w:top w:type="dxa" w:w="60"/>
              <w:left w:type="dxa" w:w="100"/>
              <w:bottom w:type="dxa" w:w="60"/>
              <w:right w:type="dxa" w:w="100"/>
            </w:tcMar>
          </w:tcPr>
          <w:p>
            <w:r>
              <w:rPr>
                <w:b w:val="false"/>
                <w:bCs w:val="false"/>
              </w:rPr>
              <w:t xml:space="preserve">Add a one-page value proposition and measurable success criteria (KPIs) — now useful for the funding pitch.</w:t>
            </w:r>
          </w:p>
        </w:tc>
      </w:tr>
      <w:tr>
        <w:tc>
          <w:tcPr>
            <w:tcW w:type="dxa" w:w="1550"/>
            <w:tcMar>
              <w:top w:type="dxa" w:w="60"/>
              <w:left w:type="dxa" w:w="100"/>
              <w:bottom w:type="dxa" w:w="60"/>
              <w:right w:type="dxa" w:w="100"/>
            </w:tcMar>
          </w:tcPr>
          <w:p>
            <w:r>
              <w:rPr>
                <w:b w:val="false"/>
                <w:bCs w:val="false"/>
              </w:rPr>
              <w:t xml:space="preserve">B — Business</w:t>
            </w:r>
          </w:p>
        </w:tc>
        <w:tc>
          <w:tcPr>
            <w:tcW w:type="dxa" w:w="4360"/>
            <w:tcMar>
              <w:top w:type="dxa" w:w="60"/>
              <w:left w:type="dxa" w:w="100"/>
              <w:bottom w:type="dxa" w:w="60"/>
              <w:right w:type="dxa" w:w="100"/>
            </w:tcMar>
          </w:tcPr>
          <w:p>
            <w:r>
              <w:rPr>
                <w:b w:val="false"/>
                <w:bCs w:val="false"/>
              </w:rPr>
              <w:t xml:space="preserve">Primary use case and single actor understood; a retail-assistant scenario now articulated for the demo.</w:t>
            </w:r>
          </w:p>
        </w:tc>
        <w:tc>
          <w:tcPr>
            <w:tcW w:type="dxa" w:w="850"/>
            <w:tcMar>
              <w:top w:type="dxa" w:w="60"/>
              <w:left w:type="dxa" w:w="100"/>
              <w:bottom w:type="dxa" w:w="60"/>
              <w:right w:type="dxa" w:w="100"/>
            </w:tcMar>
          </w:tcPr>
          <w:p>
            <w:r>
              <w:rPr>
                <w:b w:val="false"/>
                <w:bCs w:val="false"/>
              </w:rPr>
              <w:t xml:space="preserve">Partial</w:t>
            </w:r>
          </w:p>
        </w:tc>
        <w:tc>
          <w:tcPr>
            <w:tcW w:type="dxa" w:w="2600"/>
            <w:tcMar>
              <w:top w:type="dxa" w:w="60"/>
              <w:left w:type="dxa" w:w="100"/>
              <w:bottom w:type="dxa" w:w="60"/>
              <w:right w:type="dxa" w:w="100"/>
            </w:tcMar>
          </w:tcPr>
          <w:p>
            <w:r>
              <w:rPr>
                <w:b w:val="false"/>
                <w:bCs w:val="false"/>
              </w:rPr>
              <w:t xml:space="preserve">Capture business scenarios, actor goals, and a monthly cost / usage budget.</w:t>
            </w:r>
          </w:p>
        </w:tc>
      </w:tr>
      <w:tr>
        <w:tc>
          <w:tcPr>
            <w:tcW w:type="dxa" w:w="1550"/>
            <w:tcMar>
              <w:top w:type="dxa" w:w="60"/>
              <w:left w:type="dxa" w:w="100"/>
              <w:bottom w:type="dxa" w:w="60"/>
              <w:right w:type="dxa" w:w="100"/>
            </w:tcMar>
          </w:tcPr>
          <w:p>
            <w:r>
              <w:rPr>
                <w:b w:val="false"/>
                <w:bCs w:val="false"/>
              </w:rPr>
              <w:t xml:space="preserve">C — Data</w:t>
            </w:r>
          </w:p>
        </w:tc>
        <w:tc>
          <w:tcPr>
            <w:tcW w:type="dxa" w:w="4360"/>
            <w:tcMar>
              <w:top w:type="dxa" w:w="60"/>
              <w:left w:type="dxa" w:w="100"/>
              <w:bottom w:type="dxa" w:w="60"/>
              <w:right w:type="dxa" w:w="100"/>
            </w:tcMar>
          </w:tcPr>
          <w:p>
            <w:r>
              <w:rPr>
                <w:b w:val="false"/>
                <w:bCs w:val="false"/>
              </w:rPr>
              <w:t xml:space="preserve">Data-flow understood; encryption decisions made; memory now persisted encrypted (D12/S11).</w:t>
            </w:r>
          </w:p>
        </w:tc>
        <w:tc>
          <w:tcPr>
            <w:tcW w:type="dxa" w:w="850"/>
            <w:tcMar>
              <w:top w:type="dxa" w:w="60"/>
              <w:left w:type="dxa" w:w="100"/>
              <w:bottom w:type="dxa" w:w="60"/>
              <w:right w:type="dxa" w:w="100"/>
            </w:tcMar>
          </w:tcPr>
          <w:p>
            <w:r>
              <w:rPr>
                <w:b w:val="false"/>
                <w:bCs w:val="false"/>
              </w:rPr>
              <w:t xml:space="preserve">Partial</w:t>
            </w:r>
          </w:p>
        </w:tc>
        <w:tc>
          <w:tcPr>
            <w:tcW w:type="dxa" w:w="2600"/>
            <w:tcMar>
              <w:top w:type="dxa" w:w="60"/>
              <w:left w:type="dxa" w:w="100"/>
              <w:bottom w:type="dxa" w:w="60"/>
              <w:right w:type="dxa" w:w="100"/>
            </w:tcMar>
          </w:tcPr>
          <w:p>
            <w:r>
              <w:rPr>
                <w:b w:val="false"/>
                <w:bCs w:val="false"/>
              </w:rPr>
              <w:t xml:space="preserve">Data classification (audio, memory = sensitive) and a formal retention/privacy statement.</w:t>
            </w:r>
          </w:p>
        </w:tc>
      </w:tr>
      <w:tr>
        <w:tc>
          <w:tcPr>
            <w:tcW w:type="dxa" w:w="1550"/>
            <w:tcMar>
              <w:top w:type="dxa" w:w="60"/>
              <w:left w:type="dxa" w:w="100"/>
              <w:bottom w:type="dxa" w:w="60"/>
              <w:right w:type="dxa" w:w="100"/>
            </w:tcMar>
          </w:tcPr>
          <w:p>
            <w:r>
              <w:rPr>
                <w:b w:val="false"/>
                <w:bCs w:val="false"/>
              </w:rPr>
              <w:t xml:space="preserve">C — Application</w:t>
            </w:r>
          </w:p>
        </w:tc>
        <w:tc>
          <w:tcPr>
            <w:tcW w:type="dxa" w:w="4360"/>
            <w:tcMar>
              <w:top w:type="dxa" w:w="60"/>
              <w:left w:type="dxa" w:w="100"/>
              <w:bottom w:type="dxa" w:w="60"/>
              <w:right w:type="dxa" w:w="100"/>
            </w:tcMar>
          </w:tcPr>
          <w:p>
            <w:r>
              <w:rPr>
                <w:b w:val="false"/>
                <w:bCs w:val="false"/>
              </w:rPr>
              <w:t xml:space="preserve">Componentised, vendor-swappable design; decisions D1–D22 recorded; tool-use, memory, location, and vision added cleanly.</w:t>
            </w:r>
          </w:p>
        </w:tc>
        <w:tc>
          <w:tcPr>
            <w:tcW w:type="dxa" w:w="850"/>
            <w:tcMar>
              <w:top w:type="dxa" w:w="60"/>
              <w:left w:type="dxa" w:w="100"/>
              <w:bottom w:type="dxa" w:w="60"/>
              <w:right w:type="dxa" w:w="100"/>
            </w:tcMar>
          </w:tcPr>
          <w:p>
            <w:r>
              <w:rPr>
                <w:b w:val="false"/>
                <w:bCs w:val="false"/>
              </w:rPr>
              <w:t xml:space="preserve">Strong</w:t>
            </w:r>
          </w:p>
        </w:tc>
        <w:tc>
          <w:tcPr>
            <w:tcW w:type="dxa" w:w="2600"/>
            <w:tcMar>
              <w:top w:type="dxa" w:w="60"/>
              <w:left w:type="dxa" w:w="100"/>
              <w:bottom w:type="dxa" w:w="60"/>
              <w:right w:type="dxa" w:w="100"/>
            </w:tcMar>
          </w:tcPr>
          <w:p>
            <w:r>
              <w:rPr>
                <w:b w:val="false"/>
                <w:bCs w:val="false"/>
              </w:rPr>
              <w:t xml:space="preserve">Component &amp; interface catalogue; simple application-communication diagram.</w:t>
            </w:r>
          </w:p>
        </w:tc>
      </w:tr>
      <w:tr>
        <w:tc>
          <w:tcPr>
            <w:tcW w:type="dxa" w:w="1550"/>
            <w:tcMar>
              <w:top w:type="dxa" w:w="60"/>
              <w:left w:type="dxa" w:w="100"/>
              <w:bottom w:type="dxa" w:w="60"/>
              <w:right w:type="dxa" w:w="100"/>
            </w:tcMar>
          </w:tcPr>
          <w:p>
            <w:r>
              <w:rPr>
                <w:b w:val="false"/>
                <w:bCs w:val="false"/>
              </w:rPr>
              <w:t xml:space="preserve">D — Technology</w:t>
            </w:r>
          </w:p>
        </w:tc>
        <w:tc>
          <w:tcPr>
            <w:tcW w:type="dxa" w:w="4360"/>
            <w:tcMar>
              <w:top w:type="dxa" w:w="60"/>
              <w:left w:type="dxa" w:w="100"/>
              <w:bottom w:type="dxa" w:w="60"/>
              <w:right w:type="dxa" w:w="100"/>
            </w:tcMar>
          </w:tcPr>
          <w:p>
            <w:r>
              <w:rPr>
                <w:b w:val="false"/>
                <w:bCs w:val="false"/>
              </w:rPr>
              <w:t xml:space="preserve">Concrete stack, platform, runtime and dependencies pinned; wake detection working on-device.</w:t>
            </w:r>
          </w:p>
        </w:tc>
        <w:tc>
          <w:tcPr>
            <w:tcW w:type="dxa" w:w="850"/>
            <w:tcMar>
              <w:top w:type="dxa" w:w="60"/>
              <w:left w:type="dxa" w:w="100"/>
              <w:bottom w:type="dxa" w:w="60"/>
              <w:right w:type="dxa" w:w="100"/>
            </w:tcMar>
          </w:tcPr>
          <w:p>
            <w:r>
              <w:rPr>
                <w:b w:val="false"/>
                <w:bCs w:val="false"/>
              </w:rPr>
              <w:t xml:space="preserve">Strong</w:t>
            </w:r>
          </w:p>
        </w:tc>
        <w:tc>
          <w:tcPr>
            <w:tcW w:type="dxa" w:w="2600"/>
            <w:tcMar>
              <w:top w:type="dxa" w:w="60"/>
              <w:left w:type="dxa" w:w="100"/>
              <w:bottom w:type="dxa" w:w="60"/>
              <w:right w:type="dxa" w:w="100"/>
            </w:tcMar>
          </w:tcPr>
          <w:p>
            <w:r>
              <w:rPr>
                <w:b w:val="false"/>
                <w:bCs w:val="false"/>
              </w:rPr>
              <w:t xml:space="preserve">Standards catalogue + explicit latency/battery performance targets.</w:t>
            </w:r>
          </w:p>
        </w:tc>
      </w:tr>
      <w:tr>
        <w:tc>
          <w:tcPr>
            <w:tcW w:type="dxa" w:w="1550"/>
            <w:tcMar>
              <w:top w:type="dxa" w:w="60"/>
              <w:left w:type="dxa" w:w="100"/>
              <w:bottom w:type="dxa" w:w="60"/>
              <w:right w:type="dxa" w:w="100"/>
            </w:tcMar>
          </w:tcPr>
          <w:p>
            <w:r>
              <w:rPr>
                <w:b w:val="false"/>
                <w:bCs w:val="false"/>
              </w:rPr>
              <w:t xml:space="preserve">E — Opportunities &amp; Solutions</w:t>
            </w:r>
          </w:p>
        </w:tc>
        <w:tc>
          <w:tcPr>
            <w:tcW w:type="dxa" w:w="4360"/>
            <w:tcMar>
              <w:top w:type="dxa" w:w="60"/>
              <w:left w:type="dxa" w:w="100"/>
              <w:bottom w:type="dxa" w:w="60"/>
              <w:right w:type="dxa" w:w="100"/>
            </w:tcMar>
          </w:tcPr>
          <w:p>
            <w:r>
              <w:rPr>
                <w:b w:val="false"/>
                <w:bCs w:val="false"/>
              </w:rPr>
              <w:t xml:space="preserve">A phased roadmap frames the work; the demo defines a clear opportunity.</w:t>
            </w:r>
          </w:p>
        </w:tc>
        <w:tc>
          <w:tcPr>
            <w:tcW w:type="dxa" w:w="850"/>
            <w:tcMar>
              <w:top w:type="dxa" w:w="60"/>
              <w:left w:type="dxa" w:w="100"/>
              <w:bottom w:type="dxa" w:w="60"/>
              <w:right w:type="dxa" w:w="100"/>
            </w:tcMar>
          </w:tcPr>
          <w:p>
            <w:r>
              <w:rPr>
                <w:b w:val="false"/>
                <w:bCs w:val="false"/>
              </w:rPr>
              <w:t xml:space="preserve">Partial</w:t>
            </w:r>
          </w:p>
        </w:tc>
        <w:tc>
          <w:tcPr>
            <w:tcW w:type="dxa" w:w="2600"/>
            <w:tcMar>
              <w:top w:type="dxa" w:w="60"/>
              <w:left w:type="dxa" w:w="100"/>
              <w:bottom w:type="dxa" w:w="60"/>
              <w:right w:type="dxa" w:w="100"/>
            </w:tcMar>
          </w:tcPr>
          <w:p>
            <w:r>
              <w:rPr>
                <w:b w:val="false"/>
                <w:bCs w:val="false"/>
              </w:rPr>
              <w:t xml:space="preserve">Name transition states and per-package acceptance criteria.</w:t>
            </w:r>
          </w:p>
        </w:tc>
      </w:tr>
      <w:tr>
        <w:tc>
          <w:tcPr>
            <w:tcW w:type="dxa" w:w="1550"/>
            <w:tcMar>
              <w:top w:type="dxa" w:w="60"/>
              <w:left w:type="dxa" w:w="100"/>
              <w:bottom w:type="dxa" w:w="60"/>
              <w:right w:type="dxa" w:w="100"/>
            </w:tcMar>
          </w:tcPr>
          <w:p>
            <w:r>
              <w:rPr>
                <w:b w:val="false"/>
                <w:bCs w:val="false"/>
              </w:rPr>
              <w:t xml:space="preserve">F — Migration Planning</w:t>
            </w:r>
          </w:p>
        </w:tc>
        <w:tc>
          <w:tcPr>
            <w:tcW w:type="dxa" w:w="4360"/>
            <w:tcMar>
              <w:top w:type="dxa" w:w="60"/>
              <w:left w:type="dxa" w:w="100"/>
              <w:bottom w:type="dxa" w:w="60"/>
              <w:right w:type="dxa" w:w="100"/>
            </w:tcMar>
          </w:tcPr>
          <w:p>
            <w:r>
              <w:rPr>
                <w:b w:val="false"/>
                <w:bCs w:val="false"/>
              </w:rPr>
              <w:t xml:space="preserve">Roadmap gives sequence; GitHub migration executed and logged; a future backend swap (API/MCP) is anticipated.</w:t>
            </w:r>
          </w:p>
        </w:tc>
        <w:tc>
          <w:tcPr>
            <w:tcW w:type="dxa" w:w="850"/>
            <w:tcMar>
              <w:top w:type="dxa" w:w="60"/>
              <w:left w:type="dxa" w:w="100"/>
              <w:bottom w:type="dxa" w:w="60"/>
              <w:right w:type="dxa" w:w="100"/>
            </w:tcMar>
          </w:tcPr>
          <w:p>
            <w:r>
              <w:rPr>
                <w:b w:val="false"/>
                <w:bCs w:val="false"/>
              </w:rPr>
              <w:t xml:space="preserve">Partial</w:t>
            </w:r>
          </w:p>
        </w:tc>
        <w:tc>
          <w:tcPr>
            <w:tcW w:type="dxa" w:w="2600"/>
            <w:tcMar>
              <w:top w:type="dxa" w:w="60"/>
              <w:left w:type="dxa" w:w="100"/>
              <w:bottom w:type="dxa" w:w="60"/>
              <w:right w:type="dxa" w:w="100"/>
            </w:tcMar>
          </w:tcPr>
          <w:p>
            <w:r>
              <w:rPr>
                <w:b w:val="false"/>
                <w:bCs w:val="false"/>
              </w:rPr>
              <w:t xml:space="preserve">Add dependencies, rough effort, and a risk-per-phase note.</w:t>
            </w:r>
          </w:p>
        </w:tc>
      </w:tr>
      <w:tr>
        <w:tc>
          <w:tcPr>
            <w:tcW w:type="dxa" w:w="1550"/>
            <w:tcMar>
              <w:top w:type="dxa" w:w="60"/>
              <w:left w:type="dxa" w:w="100"/>
              <w:bottom w:type="dxa" w:w="60"/>
              <w:right w:type="dxa" w:w="100"/>
            </w:tcMar>
          </w:tcPr>
          <w:p>
            <w:r>
              <w:rPr>
                <w:b w:val="false"/>
                <w:bCs w:val="false"/>
              </w:rPr>
              <w:t xml:space="preserve">G — Implementation Governance</w:t>
            </w:r>
          </w:p>
        </w:tc>
        <w:tc>
          <w:tcPr>
            <w:tcW w:type="dxa" w:w="4360"/>
            <w:tcMar>
              <w:top w:type="dxa" w:w="60"/>
              <w:left w:type="dxa" w:w="100"/>
              <w:bottom w:type="dxa" w:w="60"/>
              <w:right w:type="dxa" w:w="100"/>
            </w:tcMar>
          </w:tcPr>
          <w:p>
            <w:r>
              <w:rPr>
                <w:b w:val="false"/>
                <w:bCs w:val="false"/>
              </w:rPr>
              <w:t xml:space="preserve">Security threats reviewed per change; ‘honest caveats’ discipline on unverified builds.</w:t>
            </w:r>
          </w:p>
        </w:tc>
        <w:tc>
          <w:tcPr>
            <w:tcW w:type="dxa" w:w="850"/>
            <w:tcMar>
              <w:top w:type="dxa" w:w="60"/>
              <w:left w:type="dxa" w:w="100"/>
              <w:bottom w:type="dxa" w:w="60"/>
              <w:right w:type="dxa" w:w="100"/>
            </w:tcMar>
          </w:tcPr>
          <w:p>
            <w:r>
              <w:rPr>
                <w:b w:val="false"/>
                <w:bCs w:val="false"/>
              </w:rPr>
              <w:t xml:space="preserve">Minimal</w:t>
            </w:r>
          </w:p>
        </w:tc>
        <w:tc>
          <w:tcPr>
            <w:tcW w:type="dxa" w:w="2600"/>
            <w:tcMar>
              <w:top w:type="dxa" w:w="60"/>
              <w:left w:type="dxa" w:w="100"/>
              <w:bottom w:type="dxa" w:w="60"/>
              <w:right w:type="dxa" w:w="100"/>
            </w:tcMar>
          </w:tcPr>
          <w:p>
            <w:r>
              <w:rPr>
                <w:b w:val="false"/>
                <w:bCs w:val="false"/>
              </w:rPr>
              <w:t xml:space="preserve">Define a lightweight Definition of Done incl. a security-review gate per phase.</w:t>
            </w:r>
          </w:p>
        </w:tc>
      </w:tr>
      <w:tr>
        <w:tc>
          <w:tcPr>
            <w:tcW w:type="dxa" w:w="1550"/>
            <w:tcMar>
              <w:top w:type="dxa" w:w="60"/>
              <w:left w:type="dxa" w:w="100"/>
              <w:bottom w:type="dxa" w:w="60"/>
              <w:right w:type="dxa" w:w="100"/>
            </w:tcMar>
          </w:tcPr>
          <w:p>
            <w:r>
              <w:rPr>
                <w:b w:val="false"/>
                <w:bCs w:val="false"/>
              </w:rPr>
              <w:t xml:space="preserve">H — Change Management</w:t>
            </w:r>
          </w:p>
        </w:tc>
        <w:tc>
          <w:tcPr>
            <w:tcW w:type="dxa" w:w="4360"/>
            <w:tcMar>
              <w:top w:type="dxa" w:w="60"/>
              <w:left w:type="dxa" w:w="100"/>
              <w:bottom w:type="dxa" w:w="60"/>
              <w:right w:type="dxa" w:w="100"/>
            </w:tcMar>
          </w:tcPr>
          <w:p>
            <w:r>
              <w:rPr>
                <w:b w:val="false"/>
                <w:bCs w:val="false"/>
              </w:rPr>
              <w:t xml:space="preserve">The project log records every architectural decision and change with dates (D1–D22).</w:t>
            </w:r>
          </w:p>
        </w:tc>
        <w:tc>
          <w:tcPr>
            <w:tcW w:type="dxa" w:w="850"/>
            <w:tcMar>
              <w:top w:type="dxa" w:w="60"/>
              <w:left w:type="dxa" w:w="100"/>
              <w:bottom w:type="dxa" w:w="60"/>
              <w:right w:type="dxa" w:w="100"/>
            </w:tcMar>
          </w:tcPr>
          <w:p>
            <w:r>
              <w:rPr>
                <w:b w:val="false"/>
                <w:bCs w:val="false"/>
              </w:rPr>
              <w:t xml:space="preserve">Strong</w:t>
            </w:r>
          </w:p>
        </w:tc>
        <w:tc>
          <w:tcPr>
            <w:tcW w:type="dxa" w:w="2600"/>
            <w:tcMar>
              <w:top w:type="dxa" w:w="60"/>
              <w:left w:type="dxa" w:w="100"/>
              <w:bottom w:type="dxa" w:w="60"/>
              <w:right w:type="dxa" w:w="100"/>
            </w:tcMar>
          </w:tcPr>
          <w:p>
            <w:r>
              <w:rPr>
                <w:b w:val="false"/>
                <w:bCs w:val="false"/>
              </w:rPr>
              <w:t xml:space="preserve">Formalise how a change is proposed/accepted; version the architecture docs.</w:t>
            </w:r>
          </w:p>
        </w:tc>
      </w:tr>
      <w:tr>
        <w:tc>
          <w:tcPr>
            <w:tcW w:type="dxa" w:w="1550"/>
            <w:tcMar>
              <w:top w:type="dxa" w:w="60"/>
              <w:left w:type="dxa" w:w="100"/>
              <w:bottom w:type="dxa" w:w="60"/>
              <w:right w:type="dxa" w:w="100"/>
            </w:tcMar>
          </w:tcPr>
          <w:p>
            <w:r>
              <w:rPr>
                <w:b w:val="false"/>
                <w:bCs w:val="false"/>
              </w:rPr>
              <w:t xml:space="preserve">Requirements Management</w:t>
            </w:r>
          </w:p>
        </w:tc>
        <w:tc>
          <w:tcPr>
            <w:tcW w:type="dxa" w:w="4360"/>
            <w:tcMar>
              <w:top w:type="dxa" w:w="60"/>
              <w:left w:type="dxa" w:w="100"/>
              <w:bottom w:type="dxa" w:w="60"/>
              <w:right w:type="dxa" w:w="100"/>
            </w:tcMar>
          </w:tcPr>
          <w:p>
            <w:r>
              <w:rPr>
                <w:b w:val="false"/>
                <w:bCs w:val="false"/>
              </w:rPr>
              <w:t xml:space="preserve">Functional requirements FR-1…FR-20 and a live open-questions list.</w:t>
            </w:r>
          </w:p>
        </w:tc>
        <w:tc>
          <w:tcPr>
            <w:tcW w:type="dxa" w:w="850"/>
            <w:tcMar>
              <w:top w:type="dxa" w:w="60"/>
              <w:left w:type="dxa" w:w="100"/>
              <w:bottom w:type="dxa" w:w="60"/>
              <w:right w:type="dxa" w:w="100"/>
            </w:tcMar>
          </w:tcPr>
          <w:p>
            <w:r>
              <w:rPr>
                <w:b w:val="false"/>
                <w:bCs w:val="false"/>
              </w:rPr>
              <w:t xml:space="preserve">Partial</w:t>
            </w:r>
          </w:p>
        </w:tc>
        <w:tc>
          <w:tcPr>
            <w:tcW w:type="dxa" w:w="2600"/>
            <w:tcMar>
              <w:top w:type="dxa" w:w="60"/>
              <w:left w:type="dxa" w:w="100"/>
              <w:bottom w:type="dxa" w:w="60"/>
              <w:right w:type="dxa" w:w="100"/>
            </w:tcMar>
          </w:tcPr>
          <w:p>
            <w:r>
              <w:rPr>
                <w:b w:val="false"/>
                <w:bCs w:val="false"/>
              </w:rPr>
              <w:t xml:space="preserve">A traceability matrix linking requirement → component → test.</w:t>
            </w:r>
          </w:p>
        </w:tc>
      </w:tr>
    </w:tbl>
    <w:p>
      <w:pPr>
        <w:pStyle w:val="Heading1"/>
        <w:spacing w:after="120" w:before="280"/>
      </w:pPr>
      <w:r>
        <w:rPr>
          <w:b/>
          <w:bCs/>
          <w:color w:val="1F3864"/>
        </w:rPr>
        <w:t xml:space="preserve">5. Cross-Cutting Concerns</w:t>
      </w:r>
    </w:p>
    <w:p>
      <w:pPr>
        <w:pStyle w:val="Heading2"/>
        <w:spacing w:after="100" w:before="200"/>
      </w:pPr>
      <w:r>
        <w:rPr>
          <w:b/>
          <w:bCs/>
          <w:color w:val="2E74B5"/>
        </w:rPr>
        <w:t xml:space="preserve">5.1 Security &amp; Risk Architecture</w:t>
      </w:r>
    </w:p>
    <w:p>
      <w:pPr>
        <w:spacing w:after="140"/>
      </w:pPr>
      <w:r>
        <w:t xml:space="preserve">This remains the project’s strongest area relative to its size. A living threat register (S1–S16) tracks each risk — embedded API keys, always-hot microphone, cloud speech-to-text, cost from false wakes, sensitive content over the network, boot/permission surface, the GitHub token to revoke, on-device credential/data storage, the wake model’s non-commercial training licence, on-demand location (now implemented), the persistent-memory store, planned web-search egress, off-device backup, photos fed to Nova, and the two parked integrations (M365 and bank/expense) — with severity and mitigation. The highest-severity items are the memory store (S11), any future off-device backup (S13), and — if ever built — the parked M365 (S15) and financial (S16) integrations; all are handled by encrypting at rest, encrypting client-side before any upload, and simply not building the parked ones until approved. TOGAF would still ask for two lightweight additions: a stated risk-assessment method and a short key-management policy.</w:t>
      </w:r>
    </w:p>
    <w:p>
      <w:pPr>
        <w:pStyle w:val="Heading2"/>
        <w:spacing w:after="100" w:before="200"/>
      </w:pPr>
      <w:r>
        <w:rPr>
          <w:b/>
          <w:bCs/>
          <w:color w:val="2E74B5"/>
        </w:rPr>
        <w:t xml:space="preserve">5.2 Architecture Repository &amp; Governance</w:t>
      </w:r>
    </w:p>
    <w:p>
      <w:pPr>
        <w:spacing w:after="140"/>
      </w:pPr>
      <w:r>
        <w:t xml:space="preserve">The GitHub repository plus the docs/ folder function as a modest architecture repository: the specification, the decision log, and this assessment live under version control. TOGAF’s Architecture Repository concept suggests a little more structure — a principles document, a building-blocks/component catalogue, and a standards information base — which can be added as three short files without ceremony. One live governance note: several sessions of work are currently uncommitted, so committing regularly is itself part of sound change control.</w:t>
      </w:r>
    </w:p>
    <w:p>
      <w:pPr>
        <w:pStyle w:val="Heading1"/>
        <w:spacing w:after="120" w:before="280"/>
      </w:pPr>
      <w:r>
        <w:rPr>
          <w:b/>
          <w:bCs/>
          <w:color w:val="1F3864"/>
        </w:rPr>
        <w:t xml:space="preserve">6. Prioritised Gap Analysis</w:t>
      </w:r>
    </w:p>
    <w:p>
      <w:pPr>
        <w:spacing w:after="140"/>
      </w:pPr>
      <w:r>
        <w:t xml:space="preserve">The gaps below are ordered by value-for-effort for a single-owner project. Nothing here requires heavyweight TOGAF machinery — each recommendation is a small, concrete artifact.</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500"/>
        <w:gridCol w:w="2500"/>
        <w:gridCol w:w="2600"/>
        <w:gridCol w:w="700"/>
        <w:gridCol w:w="760"/>
        <w:gridCol w:w="2300"/>
      </w:tblGrid>
      <w:tr>
        <w:trPr>
          <w:tblHeader/>
        </w:trPr>
        <w:tc>
          <w:tcPr>
            <w:tcW w:type="dxa" w:w="500"/>
            <w:shd w:fill="1F3864" w:color="auto" w:val="clear"/>
            <w:tcMar>
              <w:top w:type="dxa" w:w="60"/>
              <w:left w:type="dxa" w:w="100"/>
              <w:bottom w:type="dxa" w:w="60"/>
              <w:right w:type="dxa" w:w="100"/>
            </w:tcMar>
          </w:tcPr>
          <w:p>
            <w:r>
              <w:rPr>
                <w:b/>
                <w:bCs/>
                <w:color w:val="FFFFFF"/>
              </w:rPr>
              <w:t xml:space="preserve">#</w:t>
            </w:r>
          </w:p>
        </w:tc>
        <w:tc>
          <w:tcPr>
            <w:tcW w:type="dxa" w:w="2500"/>
            <w:shd w:fill="1F3864" w:color="auto" w:val="clear"/>
            <w:tcMar>
              <w:top w:type="dxa" w:w="60"/>
              <w:left w:type="dxa" w:w="100"/>
              <w:bottom w:type="dxa" w:w="60"/>
              <w:right w:type="dxa" w:w="100"/>
            </w:tcMar>
          </w:tcPr>
          <w:p>
            <w:r>
              <w:rPr>
                <w:b/>
                <w:bCs/>
                <w:color w:val="FFFFFF"/>
              </w:rPr>
              <w:t xml:space="preserve">Gap</w:t>
            </w:r>
          </w:p>
        </w:tc>
        <w:tc>
          <w:tcPr>
            <w:tcW w:type="dxa" w:w="2600"/>
            <w:shd w:fill="1F3864" w:color="auto" w:val="clear"/>
            <w:tcMar>
              <w:top w:type="dxa" w:w="60"/>
              <w:left w:type="dxa" w:w="100"/>
              <w:bottom w:type="dxa" w:w="60"/>
              <w:right w:type="dxa" w:w="100"/>
            </w:tcMar>
          </w:tcPr>
          <w:p>
            <w:r>
              <w:rPr>
                <w:b/>
                <w:bCs/>
                <w:color w:val="FFFFFF"/>
              </w:rPr>
              <w:t xml:space="preserve">Why it matters</w:t>
            </w:r>
          </w:p>
        </w:tc>
        <w:tc>
          <w:tcPr>
            <w:tcW w:type="dxa" w:w="700"/>
            <w:shd w:fill="1F3864" w:color="auto" w:val="clear"/>
            <w:tcMar>
              <w:top w:type="dxa" w:w="60"/>
              <w:left w:type="dxa" w:w="100"/>
              <w:bottom w:type="dxa" w:w="60"/>
              <w:right w:type="dxa" w:w="100"/>
            </w:tcMar>
          </w:tcPr>
          <w:p>
            <w:r>
              <w:rPr>
                <w:b/>
                <w:bCs/>
                <w:color w:val="FFFFFF"/>
              </w:rPr>
              <w:t xml:space="preserve">Effort</w:t>
            </w:r>
          </w:p>
        </w:tc>
        <w:tc>
          <w:tcPr>
            <w:tcW w:type="dxa" w:w="760"/>
            <w:shd w:fill="1F3864" w:color="auto" w:val="clear"/>
            <w:tcMar>
              <w:top w:type="dxa" w:w="60"/>
              <w:left w:type="dxa" w:w="100"/>
              <w:bottom w:type="dxa" w:w="60"/>
              <w:right w:type="dxa" w:w="100"/>
            </w:tcMar>
          </w:tcPr>
          <w:p>
            <w:r>
              <w:rPr>
                <w:b/>
                <w:bCs/>
                <w:color w:val="FFFFFF"/>
              </w:rPr>
              <w:t xml:space="preserve">Priority</w:t>
            </w:r>
          </w:p>
        </w:tc>
        <w:tc>
          <w:tcPr>
            <w:tcW w:type="dxa" w:w="2300"/>
            <w:shd w:fill="1F3864" w:color="auto" w:val="clear"/>
            <w:tcMar>
              <w:top w:type="dxa" w:w="60"/>
              <w:left w:type="dxa" w:w="100"/>
              <w:bottom w:type="dxa" w:w="60"/>
              <w:right w:type="dxa" w:w="100"/>
            </w:tcMar>
          </w:tcPr>
          <w:p>
            <w:r>
              <w:rPr>
                <w:b/>
                <w:bCs/>
                <w:color w:val="FFFFFF"/>
              </w:rPr>
              <w:t xml:space="preserve">Suggested artifact</w:t>
            </w:r>
          </w:p>
        </w:tc>
      </w:tr>
      <w:tr>
        <w:tc>
          <w:tcPr>
            <w:tcW w:type="dxa" w:w="500"/>
            <w:tcMar>
              <w:top w:type="dxa" w:w="60"/>
              <w:left w:type="dxa" w:w="100"/>
              <w:bottom w:type="dxa" w:w="60"/>
              <w:right w:type="dxa" w:w="100"/>
            </w:tcMar>
          </w:tcPr>
          <w:p>
            <w:r>
              <w:rPr>
                <w:b w:val="false"/>
                <w:bCs w:val="false"/>
              </w:rPr>
              <w:t xml:space="preserve">1</w:t>
            </w:r>
          </w:p>
        </w:tc>
        <w:tc>
          <w:tcPr>
            <w:tcW w:type="dxa" w:w="2500"/>
            <w:tcMar>
              <w:top w:type="dxa" w:w="60"/>
              <w:left w:type="dxa" w:w="100"/>
              <w:bottom w:type="dxa" w:w="60"/>
              <w:right w:type="dxa" w:w="100"/>
            </w:tcMar>
          </w:tcPr>
          <w:p>
            <w:r>
              <w:rPr>
                <w:b w:val="false"/>
                <w:bCs w:val="false"/>
              </w:rPr>
              <w:t xml:space="preserve">Architecture principles not written down</w:t>
            </w:r>
          </w:p>
        </w:tc>
        <w:tc>
          <w:tcPr>
            <w:tcW w:type="dxa" w:w="2600"/>
            <w:tcMar>
              <w:top w:type="dxa" w:w="60"/>
              <w:left w:type="dxa" w:w="100"/>
              <w:bottom w:type="dxa" w:w="60"/>
              <w:right w:type="dxa" w:w="100"/>
            </w:tcMar>
          </w:tcPr>
          <w:p>
            <w:r>
              <w:rPr>
                <w:b w:val="false"/>
                <w:bCs w:val="false"/>
              </w:rPr>
              <w:t xml:space="preserve">Keeps future decisions consistent (privacy, on-device, cost, encrypt-sensitive).</w:t>
            </w:r>
          </w:p>
        </w:tc>
        <w:tc>
          <w:tcPr>
            <w:tcW w:type="dxa" w:w="700"/>
            <w:tcMar>
              <w:top w:type="dxa" w:w="60"/>
              <w:left w:type="dxa" w:w="100"/>
              <w:bottom w:type="dxa" w:w="60"/>
              <w:right w:type="dxa" w:w="100"/>
            </w:tcMar>
          </w:tcPr>
          <w:p>
            <w:r>
              <w:rPr>
                <w:b w:val="false"/>
                <w:bCs w:val="false"/>
              </w:rPr>
              <w:t xml:space="preserve">Low</w:t>
            </w:r>
          </w:p>
        </w:tc>
        <w:tc>
          <w:tcPr>
            <w:tcW w:type="dxa" w:w="760"/>
            <w:tcMar>
              <w:top w:type="dxa" w:w="60"/>
              <w:left w:type="dxa" w:w="100"/>
              <w:bottom w:type="dxa" w:w="60"/>
              <w:right w:type="dxa" w:w="100"/>
            </w:tcMar>
          </w:tcPr>
          <w:p>
            <w:r>
              <w:rPr>
                <w:b w:val="false"/>
                <w:bCs w:val="false"/>
              </w:rPr>
              <w:t xml:space="preserve">High</w:t>
            </w:r>
          </w:p>
        </w:tc>
        <w:tc>
          <w:tcPr>
            <w:tcW w:type="dxa" w:w="2300"/>
            <w:tcMar>
              <w:top w:type="dxa" w:w="60"/>
              <w:left w:type="dxa" w:w="100"/>
              <w:bottom w:type="dxa" w:w="60"/>
              <w:right w:type="dxa" w:w="100"/>
            </w:tcMar>
          </w:tcPr>
          <w:p>
            <w:r>
              <w:rPr>
                <w:b w:val="false"/>
                <w:bCs w:val="false"/>
              </w:rPr>
              <w:t xml:space="preserve">A half-page ‘Principles’ note in docs/.</w:t>
            </w:r>
          </w:p>
        </w:tc>
      </w:tr>
      <w:tr>
        <w:tc>
          <w:tcPr>
            <w:tcW w:type="dxa" w:w="500"/>
            <w:tcMar>
              <w:top w:type="dxa" w:w="60"/>
              <w:left w:type="dxa" w:w="100"/>
              <w:bottom w:type="dxa" w:w="60"/>
              <w:right w:type="dxa" w:w="100"/>
            </w:tcMar>
          </w:tcPr>
          <w:p>
            <w:r>
              <w:rPr>
                <w:b w:val="false"/>
                <w:bCs w:val="false"/>
              </w:rPr>
              <w:t xml:space="preserve">2</w:t>
            </w:r>
          </w:p>
        </w:tc>
        <w:tc>
          <w:tcPr>
            <w:tcW w:type="dxa" w:w="2500"/>
            <w:tcMar>
              <w:top w:type="dxa" w:w="60"/>
              <w:left w:type="dxa" w:w="100"/>
              <w:bottom w:type="dxa" w:w="60"/>
              <w:right w:type="dxa" w:w="100"/>
            </w:tcMar>
          </w:tcPr>
          <w:p>
            <w:r>
              <w:rPr>
                <w:b w:val="false"/>
                <w:bCs w:val="false"/>
              </w:rPr>
              <w:t xml:space="preserve">No requirements traceability</w:t>
            </w:r>
          </w:p>
        </w:tc>
        <w:tc>
          <w:tcPr>
            <w:tcW w:type="dxa" w:w="2600"/>
            <w:tcMar>
              <w:top w:type="dxa" w:w="60"/>
              <w:left w:type="dxa" w:w="100"/>
              <w:bottom w:type="dxa" w:w="60"/>
              <w:right w:type="dxa" w:w="100"/>
            </w:tcMar>
          </w:tcPr>
          <w:p>
            <w:r>
              <w:rPr>
                <w:b w:val="false"/>
                <w:bCs w:val="false"/>
              </w:rPr>
              <w:t xml:space="preserve">Ensures every requirement is built and tested; catches scope drift.</w:t>
            </w:r>
          </w:p>
        </w:tc>
        <w:tc>
          <w:tcPr>
            <w:tcW w:type="dxa" w:w="700"/>
            <w:tcMar>
              <w:top w:type="dxa" w:w="60"/>
              <w:left w:type="dxa" w:w="100"/>
              <w:bottom w:type="dxa" w:w="60"/>
              <w:right w:type="dxa" w:w="100"/>
            </w:tcMar>
          </w:tcPr>
          <w:p>
            <w:r>
              <w:rPr>
                <w:b w:val="false"/>
                <w:bCs w:val="false"/>
              </w:rPr>
              <w:t xml:space="preserve">Low</w:t>
            </w:r>
          </w:p>
        </w:tc>
        <w:tc>
          <w:tcPr>
            <w:tcW w:type="dxa" w:w="760"/>
            <w:tcMar>
              <w:top w:type="dxa" w:w="60"/>
              <w:left w:type="dxa" w:w="100"/>
              <w:bottom w:type="dxa" w:w="60"/>
              <w:right w:type="dxa" w:w="100"/>
            </w:tcMar>
          </w:tcPr>
          <w:p>
            <w:r>
              <w:rPr>
                <w:b w:val="false"/>
                <w:bCs w:val="false"/>
              </w:rPr>
              <w:t xml:space="preserve">High</w:t>
            </w:r>
          </w:p>
        </w:tc>
        <w:tc>
          <w:tcPr>
            <w:tcW w:type="dxa" w:w="2300"/>
            <w:tcMar>
              <w:top w:type="dxa" w:w="60"/>
              <w:left w:type="dxa" w:w="100"/>
              <w:bottom w:type="dxa" w:w="60"/>
              <w:right w:type="dxa" w:w="100"/>
            </w:tcMar>
          </w:tcPr>
          <w:p>
            <w:r>
              <w:rPr>
                <w:b w:val="false"/>
                <w:bCs w:val="false"/>
              </w:rPr>
              <w:t xml:space="preserve">A table: requirement → component → test.</w:t>
            </w:r>
          </w:p>
        </w:tc>
      </w:tr>
      <w:tr>
        <w:tc>
          <w:tcPr>
            <w:tcW w:type="dxa" w:w="500"/>
            <w:tcMar>
              <w:top w:type="dxa" w:w="60"/>
              <w:left w:type="dxa" w:w="100"/>
              <w:bottom w:type="dxa" w:w="60"/>
              <w:right w:type="dxa" w:w="100"/>
            </w:tcMar>
          </w:tcPr>
          <w:p>
            <w:r>
              <w:rPr>
                <w:b w:val="false"/>
                <w:bCs w:val="false"/>
              </w:rPr>
              <w:t xml:space="preserve">3</w:t>
            </w:r>
          </w:p>
        </w:tc>
        <w:tc>
          <w:tcPr>
            <w:tcW w:type="dxa" w:w="2500"/>
            <w:tcMar>
              <w:top w:type="dxa" w:w="60"/>
              <w:left w:type="dxa" w:w="100"/>
              <w:bottom w:type="dxa" w:w="60"/>
              <w:right w:type="dxa" w:w="100"/>
            </w:tcMar>
          </w:tcPr>
          <w:p>
            <w:r>
              <w:rPr>
                <w:b w:val="false"/>
                <w:bCs w:val="false"/>
              </w:rPr>
              <w:t xml:space="preserve">No explicit NFR / latency &amp; battery budget</w:t>
            </w:r>
          </w:p>
        </w:tc>
        <w:tc>
          <w:tcPr>
            <w:tcW w:type="dxa" w:w="2600"/>
            <w:tcMar>
              <w:top w:type="dxa" w:w="60"/>
              <w:left w:type="dxa" w:w="100"/>
              <w:bottom w:type="dxa" w:w="60"/>
              <w:right w:type="dxa" w:w="100"/>
            </w:tcMar>
          </w:tcPr>
          <w:p>
            <w:r>
              <w:rPr>
                <w:b w:val="false"/>
                <w:bCs w:val="false"/>
              </w:rPr>
              <w:t xml:space="preserve">Latency is the core UX; battery is the core risk of ‘always-on’.</w:t>
            </w:r>
          </w:p>
        </w:tc>
        <w:tc>
          <w:tcPr>
            <w:tcW w:type="dxa" w:w="700"/>
            <w:tcMar>
              <w:top w:type="dxa" w:w="60"/>
              <w:left w:type="dxa" w:w="100"/>
              <w:bottom w:type="dxa" w:w="60"/>
              <w:right w:type="dxa" w:w="100"/>
            </w:tcMar>
          </w:tcPr>
          <w:p>
            <w:r>
              <w:rPr>
                <w:b w:val="false"/>
                <w:bCs w:val="false"/>
              </w:rPr>
              <w:t xml:space="preserve">Low</w:t>
            </w:r>
          </w:p>
        </w:tc>
        <w:tc>
          <w:tcPr>
            <w:tcW w:type="dxa" w:w="760"/>
            <w:tcMar>
              <w:top w:type="dxa" w:w="60"/>
              <w:left w:type="dxa" w:w="100"/>
              <w:bottom w:type="dxa" w:w="60"/>
              <w:right w:type="dxa" w:w="100"/>
            </w:tcMar>
          </w:tcPr>
          <w:p>
            <w:r>
              <w:rPr>
                <w:b w:val="false"/>
                <w:bCs w:val="false"/>
              </w:rPr>
              <w:t xml:space="preserve">High</w:t>
            </w:r>
          </w:p>
        </w:tc>
        <w:tc>
          <w:tcPr>
            <w:tcW w:type="dxa" w:w="2300"/>
            <w:tcMar>
              <w:top w:type="dxa" w:w="60"/>
              <w:left w:type="dxa" w:w="100"/>
              <w:bottom w:type="dxa" w:w="60"/>
              <w:right w:type="dxa" w:w="100"/>
            </w:tcMar>
          </w:tcPr>
          <w:p>
            <w:r>
              <w:rPr>
                <w:b w:val="false"/>
                <w:bCs w:val="false"/>
              </w:rPr>
              <w:t xml:space="preserve">Target numbers (wake→speech &lt; Xs; idle drain &lt; Y%/hr).</w:t>
            </w:r>
          </w:p>
        </w:tc>
      </w:tr>
      <w:tr>
        <w:tc>
          <w:tcPr>
            <w:tcW w:type="dxa" w:w="500"/>
            <w:tcMar>
              <w:top w:type="dxa" w:w="60"/>
              <w:left w:type="dxa" w:w="100"/>
              <w:bottom w:type="dxa" w:w="60"/>
              <w:right w:type="dxa" w:w="100"/>
            </w:tcMar>
          </w:tcPr>
          <w:p>
            <w:r>
              <w:rPr>
                <w:b w:val="false"/>
                <w:bCs w:val="false"/>
              </w:rPr>
              <w:t xml:space="preserve">4</w:t>
            </w:r>
          </w:p>
        </w:tc>
        <w:tc>
          <w:tcPr>
            <w:tcW w:type="dxa" w:w="2500"/>
            <w:tcMar>
              <w:top w:type="dxa" w:w="60"/>
              <w:left w:type="dxa" w:w="100"/>
              <w:bottom w:type="dxa" w:w="60"/>
              <w:right w:type="dxa" w:w="100"/>
            </w:tcMar>
          </w:tcPr>
          <w:p>
            <w:r>
              <w:rPr>
                <w:b w:val="false"/>
                <w:bCs w:val="false"/>
              </w:rPr>
              <w:t xml:space="preserve">Cost / spend governance undefined</w:t>
            </w:r>
          </w:p>
        </w:tc>
        <w:tc>
          <w:tcPr>
            <w:tcW w:type="dxa" w:w="2600"/>
            <w:tcMar>
              <w:top w:type="dxa" w:w="60"/>
              <w:left w:type="dxa" w:w="100"/>
              <w:bottom w:type="dxa" w:w="60"/>
              <w:right w:type="dxa" w:w="100"/>
            </w:tcMar>
          </w:tcPr>
          <w:p>
            <w:r>
              <w:rPr>
                <w:b w:val="false"/>
                <w:bCs w:val="false"/>
              </w:rPr>
              <w:t xml:space="preserve">Always-on + cloud LLM/TTS accrues cost; false wakes amplify it.</w:t>
            </w:r>
          </w:p>
        </w:tc>
        <w:tc>
          <w:tcPr>
            <w:tcW w:type="dxa" w:w="700"/>
            <w:tcMar>
              <w:top w:type="dxa" w:w="60"/>
              <w:left w:type="dxa" w:w="100"/>
              <w:bottom w:type="dxa" w:w="60"/>
              <w:right w:type="dxa" w:w="100"/>
            </w:tcMar>
          </w:tcPr>
          <w:p>
            <w:r>
              <w:rPr>
                <w:b w:val="false"/>
                <w:bCs w:val="false"/>
              </w:rPr>
              <w:t xml:space="preserve">Low</w:t>
            </w:r>
          </w:p>
        </w:tc>
        <w:tc>
          <w:tcPr>
            <w:tcW w:type="dxa" w:w="760"/>
            <w:tcMar>
              <w:top w:type="dxa" w:w="60"/>
              <w:left w:type="dxa" w:w="100"/>
              <w:bottom w:type="dxa" w:w="60"/>
              <w:right w:type="dxa" w:w="100"/>
            </w:tcMar>
          </w:tcPr>
          <w:p>
            <w:r>
              <w:rPr>
                <w:b w:val="false"/>
                <w:bCs w:val="false"/>
              </w:rPr>
              <w:t xml:space="preserve">High</w:t>
            </w:r>
          </w:p>
        </w:tc>
        <w:tc>
          <w:tcPr>
            <w:tcW w:type="dxa" w:w="2300"/>
            <w:tcMar>
              <w:top w:type="dxa" w:w="60"/>
              <w:left w:type="dxa" w:w="100"/>
              <w:bottom w:type="dxa" w:w="60"/>
              <w:right w:type="dxa" w:w="100"/>
            </w:tcMar>
          </w:tcPr>
          <w:p>
            <w:r>
              <w:rPr>
                <w:b w:val="false"/>
                <w:bCs w:val="false"/>
              </w:rPr>
              <w:t xml:space="preserve">A monthly cap + a rate-limit rule (partly S4).</w:t>
            </w:r>
          </w:p>
        </w:tc>
      </w:tr>
      <w:tr>
        <w:tc>
          <w:tcPr>
            <w:tcW w:type="dxa" w:w="500"/>
            <w:tcMar>
              <w:top w:type="dxa" w:w="60"/>
              <w:left w:type="dxa" w:w="100"/>
              <w:bottom w:type="dxa" w:w="60"/>
              <w:right w:type="dxa" w:w="100"/>
            </w:tcMar>
          </w:tcPr>
          <w:p>
            <w:r>
              <w:rPr>
                <w:b w:val="false"/>
                <w:bCs w:val="false"/>
              </w:rPr>
              <w:t xml:space="preserve">5</w:t>
            </w:r>
          </w:p>
        </w:tc>
        <w:tc>
          <w:tcPr>
            <w:tcW w:type="dxa" w:w="2500"/>
            <w:tcMar>
              <w:top w:type="dxa" w:w="60"/>
              <w:left w:type="dxa" w:w="100"/>
              <w:bottom w:type="dxa" w:w="60"/>
              <w:right w:type="dxa" w:w="100"/>
            </w:tcMar>
          </w:tcPr>
          <w:p>
            <w:r>
              <w:rPr>
                <w:b w:val="false"/>
                <w:bCs w:val="false"/>
              </w:rPr>
              <w:t xml:space="preserve">Data classification &amp; retention policy informal</w:t>
            </w:r>
          </w:p>
        </w:tc>
        <w:tc>
          <w:tcPr>
            <w:tcW w:type="dxa" w:w="2600"/>
            <w:tcMar>
              <w:top w:type="dxa" w:w="60"/>
              <w:left w:type="dxa" w:w="100"/>
              <w:bottom w:type="dxa" w:w="60"/>
              <w:right w:type="dxa" w:w="100"/>
            </w:tcMar>
          </w:tcPr>
          <w:p>
            <w:r>
              <w:rPr>
                <w:b w:val="false"/>
                <w:bCs w:val="false"/>
              </w:rPr>
              <w:t xml:space="preserve">Audio and now memory are sensitive; make retention explicit.</w:t>
            </w:r>
          </w:p>
        </w:tc>
        <w:tc>
          <w:tcPr>
            <w:tcW w:type="dxa" w:w="700"/>
            <w:tcMar>
              <w:top w:type="dxa" w:w="60"/>
              <w:left w:type="dxa" w:w="100"/>
              <w:bottom w:type="dxa" w:w="60"/>
              <w:right w:type="dxa" w:w="100"/>
            </w:tcMar>
          </w:tcPr>
          <w:p>
            <w:r>
              <w:rPr>
                <w:b w:val="false"/>
                <w:bCs w:val="false"/>
              </w:rPr>
              <w:t xml:space="preserve">Low</w:t>
            </w:r>
          </w:p>
        </w:tc>
        <w:tc>
          <w:tcPr>
            <w:tcW w:type="dxa" w:w="760"/>
            <w:tcMar>
              <w:top w:type="dxa" w:w="60"/>
              <w:left w:type="dxa" w:w="100"/>
              <w:bottom w:type="dxa" w:w="60"/>
              <w:right w:type="dxa" w:w="100"/>
            </w:tcMar>
          </w:tcPr>
          <w:p>
            <w:r>
              <w:rPr>
                <w:b w:val="false"/>
                <w:bCs w:val="false"/>
              </w:rPr>
              <w:t xml:space="preserve">Med</w:t>
            </w:r>
          </w:p>
        </w:tc>
        <w:tc>
          <w:tcPr>
            <w:tcW w:type="dxa" w:w="2300"/>
            <w:tcMar>
              <w:top w:type="dxa" w:w="60"/>
              <w:left w:type="dxa" w:w="100"/>
              <w:bottom w:type="dxa" w:w="60"/>
              <w:right w:type="dxa" w:w="100"/>
            </w:tcMar>
          </w:tcPr>
          <w:p>
            <w:r>
              <w:rPr>
                <w:b w:val="false"/>
                <w:bCs w:val="false"/>
              </w:rPr>
              <w:t xml:space="preserve">A short data-handling statement in docs/.</w:t>
            </w:r>
          </w:p>
        </w:tc>
      </w:tr>
      <w:tr>
        <w:tc>
          <w:tcPr>
            <w:tcW w:type="dxa" w:w="500"/>
            <w:tcMar>
              <w:top w:type="dxa" w:w="60"/>
              <w:left w:type="dxa" w:w="100"/>
              <w:bottom w:type="dxa" w:w="60"/>
              <w:right w:type="dxa" w:w="100"/>
            </w:tcMar>
          </w:tcPr>
          <w:p>
            <w:r>
              <w:rPr>
                <w:b w:val="false"/>
                <w:bCs w:val="false"/>
              </w:rPr>
              <w:t xml:space="preserve">6</w:t>
            </w:r>
          </w:p>
        </w:tc>
        <w:tc>
          <w:tcPr>
            <w:tcW w:type="dxa" w:w="2500"/>
            <w:tcMar>
              <w:top w:type="dxa" w:w="60"/>
              <w:left w:type="dxa" w:w="100"/>
              <w:bottom w:type="dxa" w:w="60"/>
              <w:right w:type="dxa" w:w="100"/>
            </w:tcMar>
          </w:tcPr>
          <w:p>
            <w:r>
              <w:rPr>
                <w:b w:val="false"/>
                <w:bCs w:val="false"/>
              </w:rPr>
              <w:t xml:space="preserve">Definition of Done / review gates missing</w:t>
            </w:r>
          </w:p>
        </w:tc>
        <w:tc>
          <w:tcPr>
            <w:tcW w:type="dxa" w:w="2600"/>
            <w:tcMar>
              <w:top w:type="dxa" w:w="60"/>
              <w:left w:type="dxa" w:w="100"/>
              <w:bottom w:type="dxa" w:w="60"/>
              <w:right w:type="dxa" w:w="100"/>
            </w:tcMar>
          </w:tcPr>
          <w:p>
            <w:r>
              <w:rPr>
                <w:b w:val="false"/>
                <w:bCs w:val="false"/>
              </w:rPr>
              <w:t xml:space="preserve">Prevents shipping unverified builds; formalises the security check.</w:t>
            </w:r>
          </w:p>
        </w:tc>
        <w:tc>
          <w:tcPr>
            <w:tcW w:type="dxa" w:w="700"/>
            <w:tcMar>
              <w:top w:type="dxa" w:w="60"/>
              <w:left w:type="dxa" w:w="100"/>
              <w:bottom w:type="dxa" w:w="60"/>
              <w:right w:type="dxa" w:w="100"/>
            </w:tcMar>
          </w:tcPr>
          <w:p>
            <w:r>
              <w:rPr>
                <w:b w:val="false"/>
                <w:bCs w:val="false"/>
              </w:rPr>
              <w:t xml:space="preserve">Med</w:t>
            </w:r>
          </w:p>
        </w:tc>
        <w:tc>
          <w:tcPr>
            <w:tcW w:type="dxa" w:w="760"/>
            <w:tcMar>
              <w:top w:type="dxa" w:w="60"/>
              <w:left w:type="dxa" w:w="100"/>
              <w:bottom w:type="dxa" w:w="60"/>
              <w:right w:type="dxa" w:w="100"/>
            </w:tcMar>
          </w:tcPr>
          <w:p>
            <w:r>
              <w:rPr>
                <w:b w:val="false"/>
                <w:bCs w:val="false"/>
              </w:rPr>
              <w:t xml:space="preserve">Med</w:t>
            </w:r>
          </w:p>
        </w:tc>
        <w:tc>
          <w:tcPr>
            <w:tcW w:type="dxa" w:w="2300"/>
            <w:tcMar>
              <w:top w:type="dxa" w:w="60"/>
              <w:left w:type="dxa" w:w="100"/>
              <w:bottom w:type="dxa" w:w="60"/>
              <w:right w:type="dxa" w:w="100"/>
            </w:tcMar>
          </w:tcPr>
          <w:p>
            <w:r>
              <w:rPr>
                <w:b w:val="false"/>
                <w:bCs w:val="false"/>
              </w:rPr>
              <w:t xml:space="preserve">A per-phase checklist incl. build + security review.</w:t>
            </w:r>
          </w:p>
        </w:tc>
      </w:tr>
      <w:tr>
        <w:tc>
          <w:tcPr>
            <w:tcW w:type="dxa" w:w="500"/>
            <w:tcMar>
              <w:top w:type="dxa" w:w="60"/>
              <w:left w:type="dxa" w:w="100"/>
              <w:bottom w:type="dxa" w:w="60"/>
              <w:right w:type="dxa" w:w="100"/>
            </w:tcMar>
          </w:tcPr>
          <w:p>
            <w:r>
              <w:rPr>
                <w:b w:val="false"/>
                <w:bCs w:val="false"/>
              </w:rPr>
              <w:t xml:space="preserve">7</w:t>
            </w:r>
          </w:p>
        </w:tc>
        <w:tc>
          <w:tcPr>
            <w:tcW w:type="dxa" w:w="2500"/>
            <w:tcMar>
              <w:top w:type="dxa" w:w="60"/>
              <w:left w:type="dxa" w:w="100"/>
              <w:bottom w:type="dxa" w:w="60"/>
              <w:right w:type="dxa" w:w="100"/>
            </w:tcMar>
          </w:tcPr>
          <w:p>
            <w:r>
              <w:rPr>
                <w:b w:val="false"/>
                <w:bCs w:val="false"/>
              </w:rPr>
              <w:t xml:space="preserve">Application component &amp; interface catalogue</w:t>
            </w:r>
          </w:p>
        </w:tc>
        <w:tc>
          <w:tcPr>
            <w:tcW w:type="dxa" w:w="2600"/>
            <w:tcMar>
              <w:top w:type="dxa" w:w="60"/>
              <w:left w:type="dxa" w:w="100"/>
              <w:bottom w:type="dxa" w:w="60"/>
              <w:right w:type="dxa" w:w="100"/>
            </w:tcMar>
          </w:tcPr>
          <w:p>
            <w:r>
              <w:rPr>
                <w:b w:val="false"/>
                <w:bCs w:val="false"/>
              </w:rPr>
              <w:t xml:space="preserve">Speeds onboarding and swaps (STT/TTS vendor, memory, tools).</w:t>
            </w:r>
          </w:p>
        </w:tc>
        <w:tc>
          <w:tcPr>
            <w:tcW w:type="dxa" w:w="700"/>
            <w:tcMar>
              <w:top w:type="dxa" w:w="60"/>
              <w:left w:type="dxa" w:w="100"/>
              <w:bottom w:type="dxa" w:w="60"/>
              <w:right w:type="dxa" w:w="100"/>
            </w:tcMar>
          </w:tcPr>
          <w:p>
            <w:r>
              <w:rPr>
                <w:b w:val="false"/>
                <w:bCs w:val="false"/>
              </w:rPr>
              <w:t xml:space="preserve">Med</w:t>
            </w:r>
          </w:p>
        </w:tc>
        <w:tc>
          <w:tcPr>
            <w:tcW w:type="dxa" w:w="760"/>
            <w:tcMar>
              <w:top w:type="dxa" w:w="60"/>
              <w:left w:type="dxa" w:w="100"/>
              <w:bottom w:type="dxa" w:w="60"/>
              <w:right w:type="dxa" w:w="100"/>
            </w:tcMar>
          </w:tcPr>
          <w:p>
            <w:r>
              <w:rPr>
                <w:b w:val="false"/>
                <w:bCs w:val="false"/>
              </w:rPr>
              <w:t xml:space="preserve">Med</w:t>
            </w:r>
          </w:p>
        </w:tc>
        <w:tc>
          <w:tcPr>
            <w:tcW w:type="dxa" w:w="2300"/>
            <w:tcMar>
              <w:top w:type="dxa" w:w="60"/>
              <w:left w:type="dxa" w:w="100"/>
              <w:bottom w:type="dxa" w:w="60"/>
              <w:right w:type="dxa" w:w="100"/>
            </w:tcMar>
          </w:tcPr>
          <w:p>
            <w:r>
              <w:rPr>
                <w:b w:val="false"/>
                <w:bCs w:val="false"/>
              </w:rPr>
              <w:t xml:space="preserve">One page listing components + inputs/outputs.</w:t>
            </w:r>
          </w:p>
        </w:tc>
      </w:tr>
      <w:tr>
        <w:tc>
          <w:tcPr>
            <w:tcW w:type="dxa" w:w="500"/>
            <w:tcMar>
              <w:top w:type="dxa" w:w="60"/>
              <w:left w:type="dxa" w:w="100"/>
              <w:bottom w:type="dxa" w:w="60"/>
              <w:right w:type="dxa" w:w="100"/>
            </w:tcMar>
          </w:tcPr>
          <w:p>
            <w:r>
              <w:rPr>
                <w:b w:val="false"/>
                <w:bCs w:val="false"/>
              </w:rPr>
              <w:t xml:space="preserve">8</w:t>
            </w:r>
          </w:p>
        </w:tc>
        <w:tc>
          <w:tcPr>
            <w:tcW w:type="dxa" w:w="2500"/>
            <w:tcMar>
              <w:top w:type="dxa" w:w="60"/>
              <w:left w:type="dxa" w:w="100"/>
              <w:bottom w:type="dxa" w:w="60"/>
              <w:right w:type="dxa" w:w="100"/>
            </w:tcMar>
          </w:tcPr>
          <w:p>
            <w:r>
              <w:rPr>
                <w:b w:val="false"/>
                <w:bCs w:val="false"/>
              </w:rPr>
              <w:t xml:space="preserve">Key-management policy</w:t>
            </w:r>
          </w:p>
        </w:tc>
        <w:tc>
          <w:tcPr>
            <w:tcW w:type="dxa" w:w="2600"/>
            <w:tcMar>
              <w:top w:type="dxa" w:w="60"/>
              <w:left w:type="dxa" w:w="100"/>
              <w:bottom w:type="dxa" w:w="60"/>
              <w:right w:type="dxa" w:w="100"/>
            </w:tcMar>
          </w:tcPr>
          <w:p>
            <w:r>
              <w:rPr>
                <w:b w:val="false"/>
                <w:bCs w:val="false"/>
              </w:rPr>
              <w:t xml:space="preserve">Clarifies where keys live, rotation, and the proxy option (S1/S7).</w:t>
            </w:r>
          </w:p>
        </w:tc>
        <w:tc>
          <w:tcPr>
            <w:tcW w:type="dxa" w:w="700"/>
            <w:tcMar>
              <w:top w:type="dxa" w:w="60"/>
              <w:left w:type="dxa" w:w="100"/>
              <w:bottom w:type="dxa" w:w="60"/>
              <w:right w:type="dxa" w:w="100"/>
            </w:tcMar>
          </w:tcPr>
          <w:p>
            <w:r>
              <w:rPr>
                <w:b w:val="false"/>
                <w:bCs w:val="false"/>
              </w:rPr>
              <w:t xml:space="preserve">Low</w:t>
            </w:r>
          </w:p>
        </w:tc>
        <w:tc>
          <w:tcPr>
            <w:tcW w:type="dxa" w:w="760"/>
            <w:tcMar>
              <w:top w:type="dxa" w:w="60"/>
              <w:left w:type="dxa" w:w="100"/>
              <w:bottom w:type="dxa" w:w="60"/>
              <w:right w:type="dxa" w:w="100"/>
            </w:tcMar>
          </w:tcPr>
          <w:p>
            <w:r>
              <w:rPr>
                <w:b w:val="false"/>
                <w:bCs w:val="false"/>
              </w:rPr>
              <w:t xml:space="preserve">Med</w:t>
            </w:r>
          </w:p>
        </w:tc>
        <w:tc>
          <w:tcPr>
            <w:tcW w:type="dxa" w:w="2300"/>
            <w:tcMar>
              <w:top w:type="dxa" w:w="60"/>
              <w:left w:type="dxa" w:w="100"/>
              <w:bottom w:type="dxa" w:w="60"/>
              <w:right w:type="dxa" w:w="100"/>
            </w:tcMar>
          </w:tcPr>
          <w:p>
            <w:r>
              <w:rPr>
                <w:b w:val="false"/>
                <w:bCs w:val="false"/>
              </w:rPr>
              <w:t xml:space="preserve">A few lines: storage, rotation, revocation.</w:t>
            </w:r>
          </w:p>
        </w:tc>
      </w:tr>
      <w:tr>
        <w:tc>
          <w:tcPr>
            <w:tcW w:type="dxa" w:w="500"/>
            <w:tcMar>
              <w:top w:type="dxa" w:w="60"/>
              <w:left w:type="dxa" w:w="100"/>
              <w:bottom w:type="dxa" w:w="60"/>
              <w:right w:type="dxa" w:w="100"/>
            </w:tcMar>
          </w:tcPr>
          <w:p>
            <w:r>
              <w:rPr>
                <w:b w:val="false"/>
                <w:bCs w:val="false"/>
              </w:rPr>
              <w:t xml:space="preserve">9</w:t>
            </w:r>
          </w:p>
        </w:tc>
        <w:tc>
          <w:tcPr>
            <w:tcW w:type="dxa" w:w="2500"/>
            <w:tcMar>
              <w:top w:type="dxa" w:w="60"/>
              <w:left w:type="dxa" w:w="100"/>
              <w:bottom w:type="dxa" w:w="60"/>
              <w:right w:type="dxa" w:w="100"/>
            </w:tcMar>
          </w:tcPr>
          <w:p>
            <w:r>
              <w:rPr>
                <w:b w:val="false"/>
                <w:bCs w:val="false"/>
              </w:rPr>
              <w:t xml:space="preserve">Business architecture &amp; success metrics</w:t>
            </w:r>
          </w:p>
        </w:tc>
        <w:tc>
          <w:tcPr>
            <w:tcW w:type="dxa" w:w="2600"/>
            <w:tcMar>
              <w:top w:type="dxa" w:w="60"/>
              <w:left w:type="dxa" w:w="100"/>
              <w:bottom w:type="dxa" w:w="60"/>
              <w:right w:type="dxa" w:w="100"/>
            </w:tcMar>
          </w:tcPr>
          <w:p>
            <w:r>
              <w:rPr>
                <w:b w:val="false"/>
                <w:bCs w:val="false"/>
              </w:rPr>
              <w:t xml:space="preserve">Now rising in value with the funding pitch and possible new project.</w:t>
            </w:r>
          </w:p>
        </w:tc>
        <w:tc>
          <w:tcPr>
            <w:tcW w:type="dxa" w:w="700"/>
            <w:tcMar>
              <w:top w:type="dxa" w:w="60"/>
              <w:left w:type="dxa" w:w="100"/>
              <w:bottom w:type="dxa" w:w="60"/>
              <w:right w:type="dxa" w:w="100"/>
            </w:tcMar>
          </w:tcPr>
          <w:p>
            <w:r>
              <w:rPr>
                <w:b w:val="false"/>
                <w:bCs w:val="false"/>
              </w:rPr>
              <w:t xml:space="preserve">Med</w:t>
            </w:r>
          </w:p>
        </w:tc>
        <w:tc>
          <w:tcPr>
            <w:tcW w:type="dxa" w:w="760"/>
            <w:tcMar>
              <w:top w:type="dxa" w:w="60"/>
              <w:left w:type="dxa" w:w="100"/>
              <w:bottom w:type="dxa" w:w="60"/>
              <w:right w:type="dxa" w:w="100"/>
            </w:tcMar>
          </w:tcPr>
          <w:p>
            <w:r>
              <w:rPr>
                <w:b w:val="false"/>
                <w:bCs w:val="false"/>
              </w:rPr>
              <w:t xml:space="preserve">Med</w:t>
            </w:r>
          </w:p>
        </w:tc>
        <w:tc>
          <w:tcPr>
            <w:tcW w:type="dxa" w:w="2300"/>
            <w:tcMar>
              <w:top w:type="dxa" w:w="60"/>
              <w:left w:type="dxa" w:w="100"/>
              <w:bottom w:type="dxa" w:w="60"/>
              <w:right w:type="dxa" w:w="100"/>
            </w:tcMar>
          </w:tcPr>
          <w:p>
            <w:r>
              <w:rPr>
                <w:b w:val="false"/>
                <w:bCs w:val="false"/>
              </w:rPr>
              <w:t xml:space="preserve">A one-page value proposition + KPIs for the demo.</w:t>
            </w:r>
          </w:p>
        </w:tc>
      </w:tr>
      <w:tr>
        <w:tc>
          <w:tcPr>
            <w:tcW w:type="dxa" w:w="500"/>
            <w:tcMar>
              <w:top w:type="dxa" w:w="60"/>
              <w:left w:type="dxa" w:w="100"/>
              <w:bottom w:type="dxa" w:w="60"/>
              <w:right w:type="dxa" w:w="100"/>
            </w:tcMar>
          </w:tcPr>
          <w:p>
            <w:r>
              <w:rPr>
                <w:b w:val="false"/>
                <w:bCs w:val="false"/>
              </w:rPr>
              <w:t xml:space="preserve">10</w:t>
            </w:r>
          </w:p>
        </w:tc>
        <w:tc>
          <w:tcPr>
            <w:tcW w:type="dxa" w:w="2500"/>
            <w:tcMar>
              <w:top w:type="dxa" w:w="60"/>
              <w:left w:type="dxa" w:w="100"/>
              <w:bottom w:type="dxa" w:w="60"/>
              <w:right w:type="dxa" w:w="100"/>
            </w:tcMar>
          </w:tcPr>
          <w:p>
            <w:r>
              <w:rPr>
                <w:b w:val="false"/>
                <w:bCs w:val="false"/>
              </w:rPr>
              <w:t xml:space="preserve">Technology standards catalogue</w:t>
            </w:r>
          </w:p>
        </w:tc>
        <w:tc>
          <w:tcPr>
            <w:tcW w:type="dxa" w:w="2600"/>
            <w:tcMar>
              <w:top w:type="dxa" w:w="60"/>
              <w:left w:type="dxa" w:w="100"/>
              <w:bottom w:type="dxa" w:w="60"/>
              <w:right w:type="dxa" w:w="100"/>
            </w:tcMar>
          </w:tcPr>
          <w:p>
            <w:r>
              <w:rPr>
                <w:b w:val="false"/>
                <w:bCs w:val="false"/>
              </w:rPr>
              <w:t xml:space="preserve">Records approved versions/services to avoid drift.</w:t>
            </w:r>
          </w:p>
        </w:tc>
        <w:tc>
          <w:tcPr>
            <w:tcW w:type="dxa" w:w="700"/>
            <w:tcMar>
              <w:top w:type="dxa" w:w="60"/>
              <w:left w:type="dxa" w:w="100"/>
              <w:bottom w:type="dxa" w:w="60"/>
              <w:right w:type="dxa" w:w="100"/>
            </w:tcMar>
          </w:tcPr>
          <w:p>
            <w:r>
              <w:rPr>
                <w:b w:val="false"/>
                <w:bCs w:val="false"/>
              </w:rPr>
              <w:t xml:space="preserve">Med</w:t>
            </w:r>
          </w:p>
        </w:tc>
        <w:tc>
          <w:tcPr>
            <w:tcW w:type="dxa" w:w="760"/>
            <w:tcMar>
              <w:top w:type="dxa" w:w="60"/>
              <w:left w:type="dxa" w:w="100"/>
              <w:bottom w:type="dxa" w:w="60"/>
              <w:right w:type="dxa" w:w="100"/>
            </w:tcMar>
          </w:tcPr>
          <w:p>
            <w:r>
              <w:rPr>
                <w:b w:val="false"/>
                <w:bCs w:val="false"/>
              </w:rPr>
              <w:t xml:space="preserve">Low</w:t>
            </w:r>
          </w:p>
        </w:tc>
        <w:tc>
          <w:tcPr>
            <w:tcW w:type="dxa" w:w="2300"/>
            <w:tcMar>
              <w:top w:type="dxa" w:w="60"/>
              <w:left w:type="dxa" w:w="100"/>
              <w:bottom w:type="dxa" w:w="60"/>
              <w:right w:type="dxa" w:w="100"/>
            </w:tcMar>
          </w:tcPr>
          <w:p>
            <w:r>
              <w:rPr>
                <w:b w:val="false"/>
                <w:bCs w:val="false"/>
              </w:rPr>
              <w:t xml:space="preserve">A ‘standards’ list (implicit in the stack).</w:t>
            </w:r>
          </w:p>
        </w:tc>
      </w:tr>
    </w:tbl>
    <w:p>
      <w:pPr>
        <w:pStyle w:val="Heading1"/>
        <w:spacing w:after="120" w:before="280"/>
      </w:pPr>
      <w:r>
        <w:rPr>
          <w:b/>
          <w:bCs/>
          <w:color w:val="1F3864"/>
        </w:rPr>
        <w:t xml:space="preserve">7. Right-Sizing TOGAF for This Project</w:t>
      </w:r>
    </w:p>
    <w:p>
      <w:pPr>
        <w:spacing w:after="140"/>
      </w:pPr>
      <w:r>
        <w:t xml:space="preserve">The honest recommendation is still to adopt the spirit of TOGAF, not its full apparatus. Governance boards, formal transition architectures, and heavyweight stakeholder management are disproportionate for a personal application. What genuinely pays off at this scale is a compact set of one-page artifacts: architecture principles, a requirements-traceability table, an NFR/latency-and-cost budget, and a data-handling statement. These few alone would move most ADM phases from Partial or Minimal to Strong, at an effort of perhaps an afternoon.</w:t>
      </w:r>
    </w:p>
    <w:p>
      <w:pPr>
        <w:spacing w:after="140"/>
      </w:pPr>
      <w:r>
        <w:t xml:space="preserve">What has changed is the horizon. The inventory demonstration is a bid to broaden Nova into a funded, multi-stakeholder product. If that happens, the previously deferred items — business architecture, governance gates, a standards catalogue, and stakeholder maps — move from ‘over-engineering’ to ‘worth doing.’ Until funding is real they remain deliberately deferred, but the trigger to revisit them is now visible rather than hypothetical. The conscious parking of the M365 and bank/expense integrations pending approvals (D20, D21) is a good instance of this same discipline in practice.</w:t>
      </w:r>
    </w:p>
    <w:p>
      <w:pPr>
        <w:pStyle w:val="Heading1"/>
        <w:spacing w:after="120" w:before="280"/>
      </w:pPr>
      <w:r>
        <w:rPr>
          <w:b/>
          <w:bCs/>
          <w:color w:val="1F3864"/>
        </w:rPr>
        <w:t xml:space="preserve">8. Summary Scorecard</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4960"/>
      </w:tblGrid>
      <w:tr>
        <w:trPr>
          <w:tblHeader/>
        </w:trPr>
        <w:tc>
          <w:tcPr>
            <w:tcW w:type="dxa" w:w="3000"/>
            <w:shd w:fill="1F3864" w:color="auto" w:val="clear"/>
            <w:tcMar>
              <w:top w:type="dxa" w:w="60"/>
              <w:left w:type="dxa" w:w="100"/>
              <w:bottom w:type="dxa" w:w="60"/>
              <w:right w:type="dxa" w:w="100"/>
            </w:tcMar>
          </w:tcPr>
          <w:p>
            <w:r>
              <w:rPr>
                <w:b/>
                <w:bCs/>
                <w:color w:val="FFFFFF"/>
              </w:rPr>
              <w:t xml:space="preserve">Area</w:t>
            </w:r>
          </w:p>
        </w:tc>
        <w:tc>
          <w:tcPr>
            <w:tcW w:type="dxa" w:w="1400"/>
            <w:shd w:fill="1F3864" w:color="auto" w:val="clear"/>
            <w:tcMar>
              <w:top w:type="dxa" w:w="60"/>
              <w:left w:type="dxa" w:w="100"/>
              <w:bottom w:type="dxa" w:w="60"/>
              <w:right w:type="dxa" w:w="100"/>
            </w:tcMar>
          </w:tcPr>
          <w:p>
            <w:r>
              <w:rPr>
                <w:b/>
                <w:bCs/>
                <w:color w:val="FFFFFF"/>
              </w:rPr>
              <w:t xml:space="preserve">Rating</w:t>
            </w:r>
          </w:p>
        </w:tc>
        <w:tc>
          <w:tcPr>
            <w:tcW w:type="dxa" w:w="4960"/>
            <w:shd w:fill="1F3864" w:color="auto" w:val="clear"/>
            <w:tcMar>
              <w:top w:type="dxa" w:w="60"/>
              <w:left w:type="dxa" w:w="100"/>
              <w:bottom w:type="dxa" w:w="60"/>
              <w:right w:type="dxa" w:w="100"/>
            </w:tcMar>
          </w:tcPr>
          <w:p>
            <w:r>
              <w:rPr>
                <w:b/>
                <w:bCs/>
                <w:color w:val="FFFFFF"/>
              </w:rPr>
              <w:t xml:space="preserve">One-line reason</w:t>
            </w:r>
          </w:p>
        </w:tc>
      </w:tr>
      <w:tr>
        <w:tc>
          <w:tcPr>
            <w:tcW w:type="dxa" w:w="3000"/>
            <w:tcMar>
              <w:top w:type="dxa" w:w="60"/>
              <w:left w:type="dxa" w:w="100"/>
              <w:bottom w:type="dxa" w:w="60"/>
              <w:right w:type="dxa" w:w="100"/>
            </w:tcMar>
          </w:tcPr>
          <w:p>
            <w:r>
              <w:rPr>
                <w:b w:val="false"/>
                <w:bCs w:val="false"/>
              </w:rPr>
              <w:t xml:space="preserve">Architecture Vision (A)</w:t>
            </w:r>
          </w:p>
        </w:tc>
        <w:tc>
          <w:tcPr>
            <w:tcW w:type="dxa" w:w="1400"/>
            <w:tcMar>
              <w:top w:type="dxa" w:w="60"/>
              <w:left w:type="dxa" w:w="100"/>
              <w:bottom w:type="dxa" w:w="60"/>
              <w:right w:type="dxa" w:w="100"/>
            </w:tcMar>
          </w:tcPr>
          <w:p>
            <w:r>
              <w:rPr>
                <w:b w:val="false"/>
                <w:bCs w:val="false"/>
              </w:rPr>
              <w:t xml:space="preserve">Strong</w:t>
            </w:r>
          </w:p>
        </w:tc>
        <w:tc>
          <w:tcPr>
            <w:tcW w:type="dxa" w:w="4960"/>
            <w:tcMar>
              <w:top w:type="dxa" w:w="60"/>
              <w:left w:type="dxa" w:w="100"/>
              <w:bottom w:type="dxa" w:w="60"/>
              <w:right w:type="dxa" w:w="100"/>
            </w:tcMar>
          </w:tcPr>
          <w:p>
            <w:r>
              <w:rPr>
                <w:b w:val="false"/>
                <w:bCs w:val="false"/>
              </w:rPr>
              <w:t xml:space="preserve">Clear, specific, well-scoped; concrete demo target.</w:t>
            </w:r>
          </w:p>
        </w:tc>
      </w:tr>
      <w:tr>
        <w:tc>
          <w:tcPr>
            <w:tcW w:type="dxa" w:w="3000"/>
            <w:tcMar>
              <w:top w:type="dxa" w:w="60"/>
              <w:left w:type="dxa" w:w="100"/>
              <w:bottom w:type="dxa" w:w="60"/>
              <w:right w:type="dxa" w:w="100"/>
            </w:tcMar>
          </w:tcPr>
          <w:p>
            <w:r>
              <w:rPr>
                <w:b w:val="false"/>
                <w:bCs w:val="false"/>
              </w:rPr>
              <w:t xml:space="preserve">Application architecture (C)</w:t>
            </w:r>
          </w:p>
        </w:tc>
        <w:tc>
          <w:tcPr>
            <w:tcW w:type="dxa" w:w="1400"/>
            <w:tcMar>
              <w:top w:type="dxa" w:w="60"/>
              <w:left w:type="dxa" w:w="100"/>
              <w:bottom w:type="dxa" w:w="60"/>
              <w:right w:type="dxa" w:w="100"/>
            </w:tcMar>
          </w:tcPr>
          <w:p>
            <w:r>
              <w:rPr>
                <w:b w:val="false"/>
                <w:bCs w:val="false"/>
              </w:rPr>
              <w:t xml:space="preserve">Strong</w:t>
            </w:r>
          </w:p>
        </w:tc>
        <w:tc>
          <w:tcPr>
            <w:tcW w:type="dxa" w:w="4960"/>
            <w:tcMar>
              <w:top w:type="dxa" w:w="60"/>
              <w:left w:type="dxa" w:w="100"/>
              <w:bottom w:type="dxa" w:w="60"/>
              <w:right w:type="dxa" w:w="100"/>
            </w:tcMar>
          </w:tcPr>
          <w:p>
            <w:r>
              <w:rPr>
                <w:b w:val="false"/>
                <w:bCs w:val="false"/>
              </w:rPr>
              <w:t xml:space="preserve">Modular, vendor-swappable; tool-use and memory added cleanly.</w:t>
            </w:r>
          </w:p>
        </w:tc>
      </w:tr>
      <w:tr>
        <w:tc>
          <w:tcPr>
            <w:tcW w:type="dxa" w:w="3000"/>
            <w:tcMar>
              <w:top w:type="dxa" w:w="60"/>
              <w:left w:type="dxa" w:w="100"/>
              <w:bottom w:type="dxa" w:w="60"/>
              <w:right w:type="dxa" w:w="100"/>
            </w:tcMar>
          </w:tcPr>
          <w:p>
            <w:r>
              <w:rPr>
                <w:b w:val="false"/>
                <w:bCs w:val="false"/>
              </w:rPr>
              <w:t xml:space="preserve">Technology architecture (D)</w:t>
            </w:r>
          </w:p>
        </w:tc>
        <w:tc>
          <w:tcPr>
            <w:tcW w:type="dxa" w:w="1400"/>
            <w:tcMar>
              <w:top w:type="dxa" w:w="60"/>
              <w:left w:type="dxa" w:w="100"/>
              <w:bottom w:type="dxa" w:w="60"/>
              <w:right w:type="dxa" w:w="100"/>
            </w:tcMar>
          </w:tcPr>
          <w:p>
            <w:r>
              <w:rPr>
                <w:b w:val="false"/>
                <w:bCs w:val="false"/>
              </w:rPr>
              <w:t xml:space="preserve">Strong</w:t>
            </w:r>
          </w:p>
        </w:tc>
        <w:tc>
          <w:tcPr>
            <w:tcW w:type="dxa" w:w="4960"/>
            <w:tcMar>
              <w:top w:type="dxa" w:w="60"/>
              <w:left w:type="dxa" w:w="100"/>
              <w:bottom w:type="dxa" w:w="60"/>
              <w:right w:type="dxa" w:w="100"/>
            </w:tcMar>
          </w:tcPr>
          <w:p>
            <w:r>
              <w:rPr>
                <w:b w:val="false"/>
                <w:bCs w:val="false"/>
              </w:rPr>
              <w:t xml:space="preserve">Concrete, pinned stack; on-device wake detection working.</w:t>
            </w:r>
          </w:p>
        </w:tc>
      </w:tr>
      <w:tr>
        <w:tc>
          <w:tcPr>
            <w:tcW w:type="dxa" w:w="3000"/>
            <w:tcMar>
              <w:top w:type="dxa" w:w="60"/>
              <w:left w:type="dxa" w:w="100"/>
              <w:bottom w:type="dxa" w:w="60"/>
              <w:right w:type="dxa" w:w="100"/>
            </w:tcMar>
          </w:tcPr>
          <w:p>
            <w:r>
              <w:rPr>
                <w:b w:val="false"/>
                <w:bCs w:val="false"/>
              </w:rPr>
              <w:t xml:space="preserve">Change management (H)</w:t>
            </w:r>
          </w:p>
        </w:tc>
        <w:tc>
          <w:tcPr>
            <w:tcW w:type="dxa" w:w="1400"/>
            <w:tcMar>
              <w:top w:type="dxa" w:w="60"/>
              <w:left w:type="dxa" w:w="100"/>
              <w:bottom w:type="dxa" w:w="60"/>
              <w:right w:type="dxa" w:w="100"/>
            </w:tcMar>
          </w:tcPr>
          <w:p>
            <w:r>
              <w:rPr>
                <w:b w:val="false"/>
                <w:bCs w:val="false"/>
              </w:rPr>
              <w:t xml:space="preserve">Strong</w:t>
            </w:r>
          </w:p>
        </w:tc>
        <w:tc>
          <w:tcPr>
            <w:tcW w:type="dxa" w:w="4960"/>
            <w:tcMar>
              <w:top w:type="dxa" w:w="60"/>
              <w:left w:type="dxa" w:w="100"/>
              <w:bottom w:type="dxa" w:w="60"/>
              <w:right w:type="dxa" w:w="100"/>
            </w:tcMar>
          </w:tcPr>
          <w:p>
            <w:r>
              <w:rPr>
                <w:b w:val="false"/>
                <w:bCs w:val="false"/>
              </w:rPr>
              <w:t xml:space="preserve">Every decision logged with dates (D1–D19).</w:t>
            </w:r>
          </w:p>
        </w:tc>
      </w:tr>
      <w:tr>
        <w:tc>
          <w:tcPr>
            <w:tcW w:type="dxa" w:w="3000"/>
            <w:tcMar>
              <w:top w:type="dxa" w:w="60"/>
              <w:left w:type="dxa" w:w="100"/>
              <w:bottom w:type="dxa" w:w="60"/>
              <w:right w:type="dxa" w:w="100"/>
            </w:tcMar>
          </w:tcPr>
          <w:p>
            <w:r>
              <w:rPr>
                <w:b w:val="false"/>
                <w:bCs w:val="false"/>
              </w:rPr>
              <w:t xml:space="preserve">Security &amp; risk</w:t>
            </w:r>
          </w:p>
        </w:tc>
        <w:tc>
          <w:tcPr>
            <w:tcW w:type="dxa" w:w="1400"/>
            <w:tcMar>
              <w:top w:type="dxa" w:w="60"/>
              <w:left w:type="dxa" w:w="100"/>
              <w:bottom w:type="dxa" w:w="60"/>
              <w:right w:type="dxa" w:w="100"/>
            </w:tcMar>
          </w:tcPr>
          <w:p>
            <w:r>
              <w:rPr>
                <w:b w:val="false"/>
                <w:bCs w:val="false"/>
              </w:rPr>
              <w:t xml:space="preserve">Strong</w:t>
            </w:r>
          </w:p>
        </w:tc>
        <w:tc>
          <w:tcPr>
            <w:tcW w:type="dxa" w:w="4960"/>
            <w:tcMar>
              <w:top w:type="dxa" w:w="60"/>
              <w:left w:type="dxa" w:w="100"/>
              <w:bottom w:type="dxa" w:w="60"/>
              <w:right w:type="dxa" w:w="100"/>
            </w:tcMar>
          </w:tcPr>
          <w:p>
            <w:r>
              <w:rPr>
                <w:b w:val="false"/>
                <w:bCs w:val="false"/>
              </w:rPr>
              <w:t xml:space="preserve">Living threat register (S1–S16) — punches above its weight.</w:t>
            </w:r>
          </w:p>
        </w:tc>
      </w:tr>
      <w:tr>
        <w:tc>
          <w:tcPr>
            <w:tcW w:type="dxa" w:w="3000"/>
            <w:tcMar>
              <w:top w:type="dxa" w:w="60"/>
              <w:left w:type="dxa" w:w="100"/>
              <w:bottom w:type="dxa" w:w="60"/>
              <w:right w:type="dxa" w:w="100"/>
            </w:tcMar>
          </w:tcPr>
          <w:p>
            <w:r>
              <w:rPr>
                <w:b w:val="false"/>
                <w:bCs w:val="false"/>
              </w:rPr>
              <w:t xml:space="preserve">Data architecture (C)</w:t>
            </w:r>
          </w:p>
        </w:tc>
        <w:tc>
          <w:tcPr>
            <w:tcW w:type="dxa" w:w="1400"/>
            <w:tcMar>
              <w:top w:type="dxa" w:w="60"/>
              <w:left w:type="dxa" w:w="100"/>
              <w:bottom w:type="dxa" w:w="60"/>
              <w:right w:type="dxa" w:w="100"/>
            </w:tcMar>
          </w:tcPr>
          <w:p>
            <w:r>
              <w:rPr>
                <w:b w:val="false"/>
                <w:bCs w:val="false"/>
              </w:rPr>
              <w:t xml:space="preserve">Partial</w:t>
            </w:r>
          </w:p>
        </w:tc>
        <w:tc>
          <w:tcPr>
            <w:tcW w:type="dxa" w:w="4960"/>
            <w:tcMar>
              <w:top w:type="dxa" w:w="60"/>
              <w:left w:type="dxa" w:w="100"/>
              <w:bottom w:type="dxa" w:w="60"/>
              <w:right w:type="dxa" w:w="100"/>
            </w:tcMar>
          </w:tcPr>
          <w:p>
            <w:r>
              <w:rPr>
                <w:b w:val="false"/>
                <w:bCs w:val="false"/>
              </w:rPr>
              <w:t xml:space="preserve">Encryption in place; retention/classification policy still to write.</w:t>
            </w:r>
          </w:p>
        </w:tc>
      </w:tr>
      <w:tr>
        <w:tc>
          <w:tcPr>
            <w:tcW w:type="dxa" w:w="3000"/>
            <w:tcMar>
              <w:top w:type="dxa" w:w="60"/>
              <w:left w:type="dxa" w:w="100"/>
              <w:bottom w:type="dxa" w:w="60"/>
              <w:right w:type="dxa" w:w="100"/>
            </w:tcMar>
          </w:tcPr>
          <w:p>
            <w:r>
              <w:rPr>
                <w:b w:val="false"/>
                <w:bCs w:val="false"/>
              </w:rPr>
              <w:t xml:space="preserve">Requirements management</w:t>
            </w:r>
          </w:p>
        </w:tc>
        <w:tc>
          <w:tcPr>
            <w:tcW w:type="dxa" w:w="1400"/>
            <w:tcMar>
              <w:top w:type="dxa" w:w="60"/>
              <w:left w:type="dxa" w:w="100"/>
              <w:bottom w:type="dxa" w:w="60"/>
              <w:right w:type="dxa" w:w="100"/>
            </w:tcMar>
          </w:tcPr>
          <w:p>
            <w:r>
              <w:rPr>
                <w:b w:val="false"/>
                <w:bCs w:val="false"/>
              </w:rPr>
              <w:t xml:space="preserve">Partial</w:t>
            </w:r>
          </w:p>
        </w:tc>
        <w:tc>
          <w:tcPr>
            <w:tcW w:type="dxa" w:w="4960"/>
            <w:tcMar>
              <w:top w:type="dxa" w:w="60"/>
              <w:left w:type="dxa" w:w="100"/>
              <w:bottom w:type="dxa" w:w="60"/>
              <w:right w:type="dxa" w:w="100"/>
            </w:tcMar>
          </w:tcPr>
          <w:p>
            <w:r>
              <w:rPr>
                <w:b w:val="false"/>
                <w:bCs w:val="false"/>
              </w:rPr>
              <w:t xml:space="preserve">Requirements exist; traceability missing.</w:t>
            </w:r>
          </w:p>
        </w:tc>
      </w:tr>
      <w:tr>
        <w:tc>
          <w:tcPr>
            <w:tcW w:type="dxa" w:w="3000"/>
            <w:tcMar>
              <w:top w:type="dxa" w:w="60"/>
              <w:left w:type="dxa" w:w="100"/>
              <w:bottom w:type="dxa" w:w="60"/>
              <w:right w:type="dxa" w:w="100"/>
            </w:tcMar>
          </w:tcPr>
          <w:p>
            <w:r>
              <w:rPr>
                <w:b w:val="false"/>
                <w:bCs w:val="false"/>
              </w:rPr>
              <w:t xml:space="preserve">Opportunities/Migration (E/F)</w:t>
            </w:r>
          </w:p>
        </w:tc>
        <w:tc>
          <w:tcPr>
            <w:tcW w:type="dxa" w:w="1400"/>
            <w:tcMar>
              <w:top w:type="dxa" w:w="60"/>
              <w:left w:type="dxa" w:w="100"/>
              <w:bottom w:type="dxa" w:w="60"/>
              <w:right w:type="dxa" w:w="100"/>
            </w:tcMar>
          </w:tcPr>
          <w:p>
            <w:r>
              <w:rPr>
                <w:b w:val="false"/>
                <w:bCs w:val="false"/>
              </w:rPr>
              <w:t xml:space="preserve">Partial</w:t>
            </w:r>
          </w:p>
        </w:tc>
        <w:tc>
          <w:tcPr>
            <w:tcW w:type="dxa" w:w="4960"/>
            <w:tcMar>
              <w:top w:type="dxa" w:w="60"/>
              <w:left w:type="dxa" w:w="100"/>
              <w:bottom w:type="dxa" w:w="60"/>
              <w:right w:type="dxa" w:w="100"/>
            </w:tcMar>
          </w:tcPr>
          <w:p>
            <w:r>
              <w:rPr>
                <w:b w:val="false"/>
                <w:bCs w:val="false"/>
              </w:rPr>
              <w:t xml:space="preserve">Roadmap present; acceptance criteria thin.</w:t>
            </w:r>
          </w:p>
        </w:tc>
      </w:tr>
      <w:tr>
        <w:tc>
          <w:tcPr>
            <w:tcW w:type="dxa" w:w="3000"/>
            <w:tcMar>
              <w:top w:type="dxa" w:w="60"/>
              <w:left w:type="dxa" w:w="100"/>
              <w:bottom w:type="dxa" w:w="60"/>
              <w:right w:type="dxa" w:w="100"/>
            </w:tcMar>
          </w:tcPr>
          <w:p>
            <w:r>
              <w:rPr>
                <w:b w:val="false"/>
                <w:bCs w:val="false"/>
              </w:rPr>
              <w:t xml:space="preserve">Business architecture (B)</w:t>
            </w:r>
          </w:p>
        </w:tc>
        <w:tc>
          <w:tcPr>
            <w:tcW w:type="dxa" w:w="1400"/>
            <w:tcMar>
              <w:top w:type="dxa" w:w="60"/>
              <w:left w:type="dxa" w:w="100"/>
              <w:bottom w:type="dxa" w:w="60"/>
              <w:right w:type="dxa" w:w="100"/>
            </w:tcMar>
          </w:tcPr>
          <w:p>
            <w:r>
              <w:rPr>
                <w:b w:val="false"/>
                <w:bCs w:val="false"/>
              </w:rPr>
              <w:t xml:space="preserve">Partial</w:t>
            </w:r>
          </w:p>
        </w:tc>
        <w:tc>
          <w:tcPr>
            <w:tcW w:type="dxa" w:w="4960"/>
            <w:tcMar>
              <w:top w:type="dxa" w:w="60"/>
              <w:left w:type="dxa" w:w="100"/>
              <w:bottom w:type="dxa" w:w="60"/>
              <w:right w:type="dxa" w:w="100"/>
            </w:tcMar>
          </w:tcPr>
          <w:p>
            <w:r>
              <w:rPr>
                <w:b w:val="false"/>
                <w:bCs w:val="false"/>
              </w:rPr>
              <w:t xml:space="preserve">Retail use case now articulated; metrics/scenarios informal.</w:t>
            </w:r>
          </w:p>
        </w:tc>
      </w:tr>
      <w:tr>
        <w:tc>
          <w:tcPr>
            <w:tcW w:type="dxa" w:w="3000"/>
            <w:tcMar>
              <w:top w:type="dxa" w:w="60"/>
              <w:left w:type="dxa" w:w="100"/>
              <w:bottom w:type="dxa" w:w="60"/>
              <w:right w:type="dxa" w:w="100"/>
            </w:tcMar>
          </w:tcPr>
          <w:p>
            <w:r>
              <w:rPr>
                <w:b w:val="false"/>
                <w:bCs w:val="false"/>
              </w:rPr>
              <w:t xml:space="preserve">Governance (G) / Principles</w:t>
            </w:r>
          </w:p>
        </w:tc>
        <w:tc>
          <w:tcPr>
            <w:tcW w:type="dxa" w:w="1400"/>
            <w:tcMar>
              <w:top w:type="dxa" w:w="60"/>
              <w:left w:type="dxa" w:w="100"/>
              <w:bottom w:type="dxa" w:w="60"/>
              <w:right w:type="dxa" w:w="100"/>
            </w:tcMar>
          </w:tcPr>
          <w:p>
            <w:r>
              <w:rPr>
                <w:b w:val="false"/>
                <w:bCs w:val="false"/>
              </w:rPr>
              <w:t xml:space="preserve">Minimal</w:t>
            </w:r>
          </w:p>
        </w:tc>
        <w:tc>
          <w:tcPr>
            <w:tcW w:type="dxa" w:w="4960"/>
            <w:tcMar>
              <w:top w:type="dxa" w:w="60"/>
              <w:left w:type="dxa" w:w="100"/>
              <w:bottom w:type="dxa" w:w="60"/>
              <w:right w:type="dxa" w:w="100"/>
            </w:tcMar>
          </w:tcPr>
          <w:p>
            <w:r>
              <w:rPr>
                <w:b w:val="false"/>
                <w:bCs w:val="false"/>
              </w:rPr>
              <w:t xml:space="preserve">Implicit; write the principles + a Definition of Done.</w:t>
            </w:r>
          </w:p>
        </w:tc>
      </w:tr>
    </w:tbl>
    <w:p>
      <w:pPr>
        <w:spacing w:after="140"/>
      </w:pPr>
      <w:r>
        <w:rPr>
          <w:i/>
          <w:iCs/>
          <w:color w:val="595959"/>
        </w:rPr>
        <w:t xml:space="preserve">Bottom line: for a single-owner project, Nova is architecturally healthy — strong where it counts (application, technology, change control, security) and light where the framework’s weight would not pay off. Closing the high-priority, low-effort gaps (principles, traceability, an NFR/cost budget, and a data-handling note) remains the recommended next step — and, with a funding pitch in play, a one-page value proposition now joins that list.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Nova — TOGAF Architecture Conformance Assessment</dc:title>
  <dc:creator>Claude (for John Duchock)</dc:creator>
  <cp:lastModifiedBy>Un-named</cp:lastModifiedBy>
  <cp:revision>1</cp:revision>
  <dcterms:created xsi:type="dcterms:W3CDTF">2026-07-31T02:12:14.933Z</dcterms:created>
  <dcterms:modified xsi:type="dcterms:W3CDTF">2026-07-31T02:12:14.933Z</dcterms:modified>
</cp:coreProperties>
</file>

<file path=docProps/custom.xml><?xml version="1.0" encoding="utf-8"?>
<Properties xmlns="http://schemas.openxmlformats.org/officeDocument/2006/custom-properties" xmlns:vt="http://schemas.openxmlformats.org/officeDocument/2006/docPropsVTypes"/>
</file>