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0"/>
          <w:szCs w:val="40"/>
        </w:rPr>
        <w:t xml:space="preserve">ML Creative Project 3 — Blueprint</w:t>
      </w:r>
    </w:p>
    <w:p>
      <w:pPr>
        <w:pBdr>
          <w:bottom w:val="single" w:color="2E75B6" w:sz="8" w:space="1"/>
        </w:pBdr>
        <w:spacing w:after="40" w:before="0"/>
      </w:pPr>
      <w:r>
        <w:rPr>
          <w:rFonts w:ascii="Arial" w:cs="Arial" w:eastAsia="Arial" w:hAnsi="Arial"/>
          <w:i/>
          <w:iCs/>
          <w:color w:val="404040"/>
          <w:sz w:val="26"/>
          <w:szCs w:val="26"/>
        </w:rPr>
        <w:t xml:space="preserve">Factor-Based Equity Segmentation, Return Prediction &amp; Anomaly Detection</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April 18,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Finance — Equity Markets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Methods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K-Means Clustering  ·  Ridge/Lasso Regression  ·  Isolation Forest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Python 3  (scikit-learn, pandas, yfinance, matplotlib)</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Primary dataset secured — Ken French Data Library confirmed available</w:t>
            </w:r>
          </w:p>
        </w:tc>
      </w:tr>
    </w:tbl>
    <w:p>
      <w:pPr>
        <w:spacing w:after="60" w:before="120"/>
      </w:pPr>
    </w:p>
    <w:p>
      <w:pPr>
        <w:pBdr>
          <w:bottom w:val="single" w:color="C0D8EE" w:sz="4" w:space="1"/>
        </w:pBdr>
        <w:spacing w:after="140" w:before="140"/>
      </w:pPr>
    </w:p>
    <w:p>
      <w:pPr>
        <w:pStyle w:val="Heading1"/>
        <w:spacing w:after="120" w:before="300"/>
      </w:pPr>
      <w:r>
        <w:rPr>
          <w:rFonts w:ascii="Arial" w:cs="Arial" w:eastAsia="Arial" w:hAnsi="Arial"/>
          <w:b/>
          <w:bCs/>
          <w:color w:val="1F4E79"/>
          <w:sz w:val="28"/>
          <w:szCs w:val="28"/>
        </w:rPr>
        <w:t xml:space="preserve">1.  Research Question &amp; Motivation</w:t>
      </w:r>
    </w:p>
    <w:p>
      <w:pPr>
        <w:spacing w:after="80" w:before="60"/>
      </w:pPr>
      <w:r>
        <w:rPr>
          <w:rFonts w:ascii="Arial" w:cs="Arial" w:eastAsia="Arial" w:hAnsi="Arial"/>
          <w:color w:val="404040"/>
          <w:sz w:val="22"/>
          <w:szCs w:val="22"/>
        </w:rPr>
        <w:t xml:space="preserve">This project investigates the following central question:</w:t>
      </w:r>
    </w:p>
    <w:p>
      <w:pPr>
        <w:spacing w:after="40" w:before="40"/>
      </w:pPr>
    </w:p>
    <w:p>
      <w:pPr>
        <w:pBdr>
          <w:left w:val="single" w:color="2E75B6" w:sz="12" w:space="10"/>
        </w:pBdr>
        <w:spacing w:after="80" w:before="80"/>
        <w:ind w:left="720" w:right="720"/>
      </w:pPr>
      <w:r>
        <w:rPr>
          <w:rFonts w:ascii="Arial" w:cs="Arial" w:eastAsia="Arial" w:hAnsi="Arial"/>
          <w:b/>
          <w:bCs/>
          <w:i/>
          <w:iCs/>
          <w:color w:val="1F4E79"/>
          <w:sz w:val="22"/>
          <w:szCs w:val="22"/>
        </w:rPr>
        <w:t xml:space="preserve">Can clustering S&amp;P 500 stocks by their multi-factor exposures reveal meaningful market segments, and do those segments improve forward return prediction — with anomaly detection flagging potential mispricing within each cluster?</w:t>
      </w:r>
    </w:p>
    <w:p>
      <w:pPr>
        <w:spacing w:after="60" w:before="60"/>
      </w:pPr>
    </w:p>
    <w:p>
      <w:pPr>
        <w:spacing w:after="80" w:before="60"/>
      </w:pPr>
      <w:r>
        <w:rPr>
          <w:rFonts w:ascii="Arial" w:cs="Arial" w:eastAsia="Arial" w:hAnsi="Arial"/>
          <w:color w:val="404040"/>
          <w:sz w:val="22"/>
          <w:szCs w:val="22"/>
        </w:rPr>
        <w:t xml:space="preserve">The motivation is grounded in financial theory. The Fama-French five-factor model explains a large share of cross-sectional return variation through systematic exposures: market beta, size (SMB), value (HML), profitability (RMW), and investment patterns (CMA). However, the relationship between factor loadings and realized returns may be non-linear and segment-dependent — stocks that cluster together by factor profile may share return dynamics that a single global model would miss.</w:t>
      </w:r>
    </w:p>
    <w:p>
      <w:pPr>
        <w:spacing w:after="40" w:before="40"/>
      </w:pPr>
    </w:p>
    <w:p>
      <w:pPr>
        <w:spacing w:after="80" w:before="60"/>
      </w:pPr>
      <w:r>
        <w:rPr>
          <w:rFonts w:ascii="Arial" w:cs="Arial" w:eastAsia="Arial" w:hAnsi="Arial"/>
          <w:color w:val="404040"/>
          <w:sz w:val="22"/>
          <w:szCs w:val="22"/>
        </w:rPr>
        <w:t xml:space="preserve">This project tests whether a segmentation-first approach outperforms a naive pooled regression on out-of-sample data. The anomaly detection layer adds a practical dimension: within each cluster, stocks with dramatically different realized returns from peers may represent either mispricing opportunities or data quality issues — both are analytically meaningful.</w:t>
      </w:r>
    </w:p>
    <w:p>
      <w:pPr>
        <w:spacing w:after="60" w:before="80"/>
      </w:pPr>
    </w:p>
    <w:p>
      <w:pPr>
        <w:pBdr>
          <w:bottom w:val="single" w:color="C0D8EE" w:sz="4" w:space="1"/>
        </w:pBdr>
        <w:spacing w:after="140" w:before="140"/>
      </w:pPr>
    </w:p>
    <w:p>
      <w:pPr>
        <w:pStyle w:val="Heading1"/>
        <w:spacing w:after="120" w:before="300"/>
      </w:pPr>
      <w:r>
        <w:rPr>
          <w:rFonts w:ascii="Arial" w:cs="Arial" w:eastAsia="Arial" w:hAnsi="Arial"/>
          <w:b/>
          <w:bCs/>
          <w:color w:val="1F4E79"/>
          <w:sz w:val="28"/>
          <w:szCs w:val="28"/>
        </w:rPr>
        <w:t xml:space="preserve">2.  ML Approaches &amp; Justification</w:t>
      </w:r>
    </w:p>
    <w:p>
      <w:pPr>
        <w:spacing w:after="80" w:before="60"/>
      </w:pPr>
      <w:r>
        <w:rPr>
          <w:rFonts w:ascii="Arial" w:cs="Arial" w:eastAsia="Arial" w:hAnsi="Arial"/>
          <w:color w:val="404040"/>
          <w:sz w:val="22"/>
          <w:szCs w:val="22"/>
        </w:rPr>
        <w:t xml:space="preserve">Three ML methods are combined into a sequential, hypothesis-driven pipeline: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6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&amp; Justification</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1</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K-Means Clustering</w:t>
            </w:r>
          </w:p>
        </w:tc>
        <w:tc>
          <w:tcPr>
            <w:tcW w:type="dxa" w:w="6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Groups stocks into k segments by their rolling FF5 factor loadings. Optimal k is selected via elbow method and silhouette scores. Justification: unsupervised segmentation surfaces natural market structure without imposing arbitrary labels, allowing data-driven groupings that may better reflect shared return drivers than sector classifications.</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2</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Ridge / Lasso Regression</w:t>
            </w:r>
          </w:p>
        </w:tc>
        <w:tc>
          <w:tcPr>
            <w:tcW w:type="dxa" w:w="6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Trains cluster-specific regularized regressions to predict 1-month forward returns from factor loadings and cluster indicators. Lambda selected via 5-fold CV. Justification: regularization addresses multicollinearity among correlated factors; cluster-specific models directly test whether segmentation adds predictive lift over a pooled baseline.</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3</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Isolation Forest</w:t>
            </w:r>
          </w:p>
        </w:tc>
        <w:tc>
          <w:tcPr>
            <w:tcW w:type="dxa" w:w="6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Applied within each cluster to flag stocks with anomalous return behavior relative to cluster peers (bottom 5th percentile anomaly score). Justification: Isolation Forest requires no distributional assumption, making it robust to the fat tails typical in financial return data. Anomaly flags are interpreted as potential mispricing signals or data quality issues.</w:t>
            </w:r>
          </w:p>
        </w:tc>
      </w:tr>
    </w:tbl>
    <w:p>
      <w:pPr>
        <w:spacing w:after="60" w:before="80"/>
      </w:pPr>
    </w:p>
    <w:p>
      <w:pPr>
        <w:pStyle w:val="Heading2"/>
        <w:spacing w:after="80" w:before="220"/>
      </w:pPr>
      <w:r>
        <w:rPr>
          <w:rFonts w:ascii="Arial" w:cs="Arial" w:eastAsia="Arial" w:hAnsi="Arial"/>
          <w:b/>
          <w:bCs/>
          <w:color w:val="2E75B6"/>
          <w:sz w:val="24"/>
          <w:szCs w:val="24"/>
        </w:rPr>
        <w:t xml:space="preserve">Pipeline Logic</w:t>
      </w:r>
    </w:p>
    <w:p>
      <w:pPr>
        <w:spacing w:after="80" w:before="60"/>
      </w:pPr>
      <w:r>
        <w:rPr>
          <w:rFonts w:ascii="Arial" w:cs="Arial" w:eastAsia="Arial" w:hAnsi="Arial"/>
          <w:color w:val="404040"/>
          <w:sz w:val="22"/>
          <w:szCs w:val="22"/>
        </w:rPr>
        <w:t xml:space="preserve">The methods are deliberately sequential: clustering defines analytical segments, regression trains within those segments, and anomaly detection operates on the residuals of that structure. This chaining tests a coherent hypothesis rather than applying three independent methods to the same dataset.</w:t>
      </w:r>
    </w:p>
    <w:p>
      <w:pPr>
        <w:spacing w:after="60" w:before="80"/>
      </w:pPr>
    </w:p>
    <w:p>
      <w:pPr>
        <w:pBdr>
          <w:bottom w:val="single" w:color="C0D8EE" w:sz="4" w:space="1"/>
        </w:pBdr>
        <w:spacing w:after="140" w:before="140"/>
      </w:pPr>
    </w:p>
    <w:p>
      <w:pPr>
        <w:pStyle w:val="Heading1"/>
        <w:spacing w:after="120" w:before="300"/>
      </w:pPr>
      <w:r>
        <w:rPr>
          <w:rFonts w:ascii="Arial" w:cs="Arial" w:eastAsia="Arial" w:hAnsi="Arial"/>
          <w:b/>
          <w:bCs/>
          <w:color w:val="1F4E79"/>
          <w:sz w:val="28"/>
          <w:szCs w:val="28"/>
        </w:rPr>
        <w:t xml:space="preserve">3.  Data Sources</w:t>
      </w:r>
    </w:p>
    <w:p>
      <w:pPr>
        <w:spacing w:after="80" w:before="60"/>
      </w:pPr>
      <w:r>
        <w:rPr>
          <w:rFonts w:ascii="Arial" w:cs="Arial" w:eastAsia="Arial" w:hAnsi="Arial"/>
          <w:color w:val="404040"/>
          <w:sz w:val="22"/>
          <w:szCs w:val="22"/>
        </w:rPr>
        <w:t xml:space="preserve">All datasets are freely available and accessible. The primary dataset (Ken French Data Library) has been downloaded and verified prior to this submission.</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Ken French Data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FF5 factor returns (daily &amp; monthly), risk-free rate. Primary feature inputs for rolling factor regressions. Confirmed downloaded.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20"/>
                <w:szCs w:val="20"/>
              </w:rPr>
              <w:t xml:space="preserve">Direct CSV download at mba.tuck.dartmouth.edu/pages/faculty/ken.french/data_library.html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yfinance (Python)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S&amp;P 500 adjusted stock prices and returns, market cap. Used to compute realized returns and estimate rolling betas.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20"/>
                <w:szCs w:val="20"/>
              </w:rPr>
              <w:t xml:space="preserve">pip install yfinance; programmatic API pull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Wikipedia S&amp;P 500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Current constituent ticker universe with GICS sector labels. Used as a reference benchmark against data-driven clusters.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20"/>
                <w:szCs w:val="20"/>
              </w:rPr>
              <w:t xml:space="preserve">pandas.read_html() scrape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FRED (St. Louis Fed)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10-Year Treasury yield, Federal Funds Rate. Macro controls for regression models.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04040"/>
                <w:sz w:val="20"/>
                <w:szCs w:val="20"/>
              </w:rPr>
              <w:t xml:space="preserve">fredapi Python library or direct CSV download</w:t>
            </w:r>
          </w:p>
        </w:tc>
      </w:tr>
    </w:tbl>
    <w:p>
      <w:pPr>
        <w:spacing w:after="60" w:before="80"/>
      </w:pPr>
    </w:p>
    <w:p>
      <w:pPr>
        <w:pStyle w:val="Heading2"/>
        <w:spacing w:after="80" w:before="220"/>
      </w:pPr>
      <w:r>
        <w:rPr>
          <w:rFonts w:ascii="Arial" w:cs="Arial" w:eastAsia="Arial" w:hAnsi="Arial"/>
          <w:b/>
          <w:bCs/>
          <w:color w:val="2E75B6"/>
          <w:sz w:val="24"/>
          <w:szCs w:val="24"/>
        </w:rPr>
        <w:t xml:space="preserve">Sample Construction</w:t>
      </w:r>
    </w:p>
    <w:p>
      <w:pPr>
        <w:pStyle w:val="ListParagraph"/>
        <w:numPr>
          <w:ilvl w:val="0"/>
          <w:numId w:val="2"/>
        </w:numPr>
        <w:spacing w:after="40" w:before="40"/>
      </w:pPr>
      <w:r>
        <w:rPr>
          <w:rFonts w:ascii="Arial" w:cs="Arial" w:eastAsia="Arial" w:hAnsi="Arial"/>
          <w:color w:val="404040"/>
          <w:sz w:val="22"/>
          <w:szCs w:val="22"/>
        </w:rPr>
        <w:t xml:space="preserve">Universe: S&amp;P 500 constituents as of January 2025 (point-in-time snapshot to limit survivorship bias where possible)</w:t>
      </w:r>
    </w:p>
    <w:p>
      <w:pPr>
        <w:pStyle w:val="ListParagraph"/>
        <w:numPr>
          <w:ilvl w:val="0"/>
          <w:numId w:val="2"/>
        </w:numPr>
        <w:spacing w:after="40" w:before="40"/>
      </w:pPr>
      <w:r>
        <w:rPr>
          <w:rFonts w:ascii="Arial" w:cs="Arial" w:eastAsia="Arial" w:hAnsi="Arial"/>
          <w:color w:val="404040"/>
          <w:sz w:val="22"/>
          <w:szCs w:val="22"/>
        </w:rPr>
        <w:t xml:space="preserve">Time horizon: January 2015 to December 2024 — 10 years at monthly frequency</w:t>
      </w:r>
    </w:p>
    <w:p>
      <w:pPr>
        <w:pStyle w:val="ListParagraph"/>
        <w:numPr>
          <w:ilvl w:val="0"/>
          <w:numId w:val="2"/>
        </w:numPr>
        <w:spacing w:after="40" w:before="40"/>
      </w:pPr>
      <w:r>
        <w:rPr>
          <w:rFonts w:ascii="Arial" w:cs="Arial" w:eastAsia="Arial" w:hAnsi="Arial"/>
          <w:color w:val="404040"/>
          <w:sz w:val="22"/>
          <w:szCs w:val="22"/>
        </w:rPr>
        <w:t xml:space="preserve">Factor loadings: rolling 36-month OLS regression of each stock's excess return on FF5 factors</w:t>
      </w:r>
    </w:p>
    <w:p>
      <w:pPr>
        <w:pStyle w:val="ListParagraph"/>
        <w:numPr>
          <w:ilvl w:val="0"/>
          <w:numId w:val="2"/>
        </w:numPr>
        <w:spacing w:after="40" w:before="40"/>
      </w:pPr>
      <w:r>
        <w:rPr>
          <w:rFonts w:ascii="Arial" w:cs="Arial" w:eastAsia="Arial" w:hAnsi="Arial"/>
          <w:color w:val="404040"/>
          <w:sz w:val="22"/>
          <w:szCs w:val="22"/>
        </w:rPr>
        <w:t xml:space="preserve">Target variable: 1-month forward excess return (realized return minus risk-free rate)</w:t>
      </w:r>
    </w:p>
    <w:p>
      <w:pPr>
        <w:pStyle w:val="ListParagraph"/>
        <w:numPr>
          <w:ilvl w:val="0"/>
          <w:numId w:val="2"/>
        </w:numPr>
        <w:spacing w:after="40" w:before="40"/>
      </w:pPr>
      <w:r>
        <w:rPr>
          <w:rFonts w:ascii="Arial" w:cs="Arial" w:eastAsia="Arial" w:hAnsi="Arial"/>
          <w:color w:val="404040"/>
          <w:sz w:val="22"/>
          <w:szCs w:val="22"/>
        </w:rPr>
        <w:t xml:space="preserve">Train / holdout split: January 2015 to December 2022 for training; January 2023 to December 2024 for evaluation</w:t>
      </w:r>
    </w:p>
    <w:p>
      <w:pPr>
        <w:spacing w:after="60" w:before="80"/>
      </w:pPr>
    </w:p>
    <w:p>
      <w:pPr>
        <w:pBdr>
          <w:bottom w:val="single" w:color="C0D8EE" w:sz="4" w:space="1"/>
        </w:pBdr>
        <w:spacing w:after="140" w:before="140"/>
      </w:pPr>
    </w:p>
    <w:p>
      <w:pPr>
        <w:pStyle w:val="Heading1"/>
        <w:spacing w:after="120" w:before="300"/>
      </w:pPr>
      <w:r>
        <w:rPr>
          <w:rFonts w:ascii="Arial" w:cs="Arial" w:eastAsia="Arial" w:hAnsi="Arial"/>
          <w:b/>
          <w:bCs/>
          <w:color w:val="1F4E79"/>
          <w:sz w:val="28"/>
          <w:szCs w:val="28"/>
        </w:rPr>
        <w:t xml:space="preserve">4.  Analytical Strategy &amp; Roadmap</w:t>
      </w:r>
    </w:p>
    <w:p>
      <w:pPr>
        <w:spacing w:after="80" w:before="60"/>
      </w:pPr>
      <w:r>
        <w:rPr>
          <w:rFonts w:ascii="Arial" w:cs="Arial" w:eastAsia="Arial" w:hAnsi="Arial"/>
          <w:color w:val="404040"/>
          <w:sz w:val="22"/>
          <w:szCs w:val="22"/>
        </w:rPr>
        <w:t xml:space="preserve">The project is organized into five sequential phases leading to the final deliverable: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Phase 1
Data Pipeline</w:t>
            </w:r>
          </w:p>
        </w:tc>
        <w:tc>
          <w:tcPr>
            <w:tcW w:type="dxa" w:w="7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Pull S&amp;P 500 tickers from Wikipedia. Download monthly adjusted prices via yfinance. Download FF5 factor data from the French library. Align datasets to a common monthly panel, handle missing tickers, and compute monthly excess returns for each stock.</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Phase 2
Feature Engineering</w:t>
            </w:r>
          </w:p>
        </w:tc>
        <w:tc>
          <w:tcPr>
            <w:tcW w:type="dxa" w:w="7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Estimate rolling 36-month OLS betas for each stock-month against the 5 Fama-French factors. Standardize (Z-score) all factor loading features prior to clustering to prevent scale dominance by any single factor.</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Phase 3
K-Means Clustering</w:t>
            </w:r>
          </w:p>
        </w:tc>
        <w:tc>
          <w:tcPr>
            <w:tcW w:type="dxa" w:w="7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Fit K-Means for k = 2 through 12. Select optimal k via elbow method (inertia) and silhouette score. Assign cluster labels. Validate with PCA-based 2D visualization and compare cluster composition to GICS sectors as a sanity check.</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Phase 4
Return Prediction</w:t>
            </w:r>
          </w:p>
        </w:tc>
        <w:tc>
          <w:tcPr>
            <w:tcW w:type="dxa" w:w="7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Train cluster-specific Ridge and Lasso regressions on training data (5-fold CV for regularization strength). Predict 1-month forward returns on holdout period. Benchmark against: (a) pooled regression ignoring clusters, (b) naive mean-return baseline. Evaluate on R-squared, MAE, and directional accuracy.</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Phase 5
Anomaly Detection</w:t>
            </w:r>
          </w:p>
        </w:tc>
        <w:tc>
          <w:tcPr>
            <w:tcW w:type="dxa" w:w="7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04040"/>
                <w:sz w:val="20"/>
                <w:szCs w:val="20"/>
              </w:rPr>
              <w:t xml:space="preserve">Apply Isolation Forest within each cluster on the holdout period. Flag the bottom 5th percentile of anomaly scores. Analyze whether flagged stocks show extreme subsequent returns, unusual factor exposures, or coincide with known market events such as earnings surprises or delistings.</w:t>
            </w:r>
          </w:p>
        </w:tc>
      </w:tr>
    </w:tbl>
    <w:p>
      <w:pPr>
        <w:spacing w:after="60" w:before="80"/>
      </w:pPr>
    </w:p>
    <w:p>
      <w:pPr>
        <w:pStyle w:val="Heading2"/>
        <w:spacing w:after="80" w:before="220"/>
      </w:pPr>
      <w:r>
        <w:rPr>
          <w:rFonts w:ascii="Arial" w:cs="Arial" w:eastAsia="Arial" w:hAnsi="Arial"/>
          <w:b/>
          <w:bCs/>
          <w:color w:val="2E75B6"/>
          <w:sz w:val="24"/>
          <w:szCs w:val="24"/>
        </w:rPr>
        <w:t xml:space="preserve">Key Evaluation Questions</w:t>
      </w:r>
    </w:p>
    <w:p>
      <w:pPr>
        <w:pStyle w:val="ListParagraph"/>
        <w:numPr>
          <w:ilvl w:val="0"/>
          <w:numId w:val="2"/>
        </w:numPr>
        <w:spacing w:after="40" w:before="40"/>
      </w:pPr>
      <w:r>
        <w:rPr>
          <w:rFonts w:ascii="Arial" w:cs="Arial" w:eastAsia="Arial" w:hAnsi="Arial"/>
          <w:color w:val="404040"/>
          <w:sz w:val="22"/>
          <w:szCs w:val="22"/>
        </w:rPr>
        <w:t xml:space="preserve">Does cluster-specific regression outperform a pooled model on out-of-sample R-squared and directional accuracy?</w:t>
      </w:r>
    </w:p>
    <w:p>
      <w:pPr>
        <w:pStyle w:val="ListParagraph"/>
        <w:numPr>
          <w:ilvl w:val="0"/>
          <w:numId w:val="2"/>
        </w:numPr>
        <w:spacing w:after="40" w:before="40"/>
      </w:pPr>
      <w:r>
        <w:rPr>
          <w:rFonts w:ascii="Arial" w:cs="Arial" w:eastAsia="Arial" w:hAnsi="Arial"/>
          <w:color w:val="404040"/>
          <w:sz w:val="22"/>
          <w:szCs w:val="22"/>
        </w:rPr>
        <w:t xml:space="preserve">Do data-driven clusters align meaningfully with industry and sector groupings, or do they capture a different structural dimension?</w:t>
      </w:r>
    </w:p>
    <w:p>
      <w:pPr>
        <w:pStyle w:val="ListParagraph"/>
        <w:numPr>
          <w:ilvl w:val="0"/>
          <w:numId w:val="2"/>
        </w:numPr>
        <w:spacing w:after="40" w:before="40"/>
      </w:pPr>
      <w:r>
        <w:rPr>
          <w:rFonts w:ascii="Arial" w:cs="Arial" w:eastAsia="Arial" w:hAnsi="Arial"/>
          <w:color w:val="404040"/>
          <w:sz w:val="22"/>
          <w:szCs w:val="22"/>
        </w:rPr>
        <w:t xml:space="preserve">Do anomaly-flagged stocks exhibit systematically extreme subsequent returns, and if so, in which direction?</w:t>
      </w:r>
    </w:p>
    <w:p>
      <w:pPr>
        <w:pStyle w:val="ListParagraph"/>
        <w:numPr>
          <w:ilvl w:val="0"/>
          <w:numId w:val="2"/>
        </w:numPr>
        <w:spacing w:after="40" w:before="40"/>
      </w:pPr>
      <w:r>
        <w:rPr>
          <w:rFonts w:ascii="Arial" w:cs="Arial" w:eastAsia="Arial" w:hAnsi="Arial"/>
          <w:color w:val="404040"/>
          <w:sz w:val="22"/>
          <w:szCs w:val="22"/>
        </w:rPr>
        <w:t xml:space="preserve">Does the choice of k materially affect downstream predictive performance?</w:t>
      </w:r>
    </w:p>
    <w:p>
      <w:pPr>
        <w:spacing w:after="60" w:before="80"/>
      </w:pPr>
    </w:p>
    <w:p>
      <w:pPr>
        <w:pStyle w:val="Heading2"/>
        <w:spacing w:after="80" w:before="220"/>
      </w:pPr>
      <w:r>
        <w:rPr>
          <w:rFonts w:ascii="Arial" w:cs="Arial" w:eastAsia="Arial" w:hAnsi="Arial"/>
          <w:b/>
          <w:bCs/>
          <w:color w:val="2E75B6"/>
          <w:sz w:val="24"/>
          <w:szCs w:val="24"/>
        </w:rPr>
        <w:t xml:space="preserve">Deliverable Format</w:t>
      </w:r>
    </w:p>
    <w:p>
      <w:pPr>
        <w:spacing w:after="80" w:before="60"/>
      </w:pPr>
      <w:r>
        <w:rPr>
          <w:rFonts w:ascii="Arial" w:cs="Arial" w:eastAsia="Arial" w:hAnsi="Arial"/>
          <w:color w:val="404040"/>
          <w:sz w:val="22"/>
          <w:szCs w:val="22"/>
        </w:rPr>
        <w:t xml:space="preserve">The final submission will be a structured Python analysis (Jupyter Notebook or Quarto document) containing: a reproducible data pipeline, exploratory visualizations, clustering diagnostics, regression results tables, anomaly detection findings, and a written interpretation of all results. All code will reproduce from the raw data sources linked above.</w:t>
      </w:r>
    </w:p>
    <w:p>
      <w:pPr>
        <w:spacing w:after="60" w:before="120"/>
      </w:pPr>
    </w:p>
    <w:p>
      <w:pPr>
        <w:pBdr>
          <w:bottom w:val="single" w:color="C0D8EE" w:sz="4" w:space="1"/>
        </w:pBdr>
        <w:spacing w:after="140" w:before="140"/>
      </w:pPr>
    </w:p>
    <w:p>
      <w:pPr>
        <w:spacing w:after="0" w:before="80"/>
        <w:jc w:val="center"/>
      </w:pPr>
      <w:r>
        <w:rPr>
          <w:rFonts w:ascii="Arial" w:cs="Arial" w:eastAsia="Arial" w:hAnsi="Arial"/>
          <w:i/>
          <w:iCs/>
          <w:color w:val="999999"/>
          <w:sz w:val="18"/>
          <w:szCs w:val="18"/>
        </w:rPr>
        <w:t xml:space="preserve">ML Creative Project 3 Blueprint  ·  Submitted April 18,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2026-04-17T18:10:29.840Z</dcterms:created>
  <dcterms:modified xsi:type="dcterms:W3CDTF">2026-04-17T18:10:29.841Z</dcterms:modified>
</cp:coreProperties>
</file>

<file path=docProps/custom.xml><?xml version="1.0" encoding="utf-8"?>
<Properties xmlns="http://schemas.openxmlformats.org/officeDocument/2006/custom-properties" xmlns:vt="http://schemas.openxmlformats.org/officeDocument/2006/docPropsVTypes"/>
</file>