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D45BF" w14:textId="77777777" w:rsidR="00AC1D77" w:rsidRDefault="00000000">
      <w:pPr>
        <w:pStyle w:val="Ttulo"/>
      </w:pPr>
      <w:r>
        <w:t>Chilexpress cumplimiento y capacidad de reparto</w:t>
      </w:r>
    </w:p>
    <w:p w14:paraId="7CD99529" w14:textId="6DA25893" w:rsidR="00AC1D77" w:rsidRDefault="00000000" w:rsidP="005E126C">
      <w:pPr>
        <w:pStyle w:val="Subttulo"/>
        <w:jc w:val="center"/>
      </w:pPr>
      <w:r>
        <w:t>Profesor Viktor Tapia</w:t>
      </w:r>
    </w:p>
    <w:p w14:paraId="423C51F0" w14:textId="77777777" w:rsidR="00AC1D77" w:rsidRDefault="00000000">
      <w:r>
        <w:t>Desarrolle este caso en un equipo de tres integrantes. Debe convertir datos imperfectos en una recomendación verificable mediante Python, indicadores y un dashboard. Las empresas son reales; datos, instalaciones, encargos, metas y resultados de estos ejercicios son simulados.</w:t>
      </w:r>
    </w:p>
    <w:p w14:paraId="1F202A66" w14:textId="77777777" w:rsidR="00AC1D77" w:rsidRDefault="00000000">
      <w:pPr>
        <w:pStyle w:val="Ttulo1"/>
      </w:pPr>
      <w:r>
        <w:t>Decisión y alcance</w:t>
      </w:r>
    </w:p>
    <w:p w14:paraId="30074619" w14:textId="77777777" w:rsidR="00AC1D77" w:rsidRDefault="00000000">
      <w:r>
        <w:t>Distribuir diez turnos adicionales semanales entre dos zonas para un piloto docente. La selección debe equilibrar volumen vencido, cumplimiento, costo y ruralidad. La mejora esperada requiere un piloto; no se deduce causalmente del historial.</w:t>
      </w:r>
    </w:p>
    <w:p w14:paraId="22190C05" w14:textId="77777777" w:rsidR="00AC1D77" w:rsidRDefault="00000000">
      <w:r>
        <w:t>Cada fila principal representa un envío al corte de su lote. Se añaden 100.000 envíos de agosto a diciembre. El detalle de eventos nuevo contiene recepción y un evento posterior por envío; no es otra tabla de envíos para sumar.</w:t>
      </w:r>
    </w:p>
    <w:p w14:paraId="35EED49D" w14:textId="77777777" w:rsidR="00AC1D77" w:rsidRDefault="00000000">
      <w:pPr>
        <w:pStyle w:val="Ttulo1"/>
      </w:pPr>
      <w:r>
        <w:t>Datos y cortes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048"/>
      </w:tblGrid>
      <w:tr w:rsidR="00AC1D77" w14:paraId="2B2E7321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F58BD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Lote principal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C0C00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Filas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1E76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Período y corte UTC</w:t>
            </w:r>
          </w:p>
        </w:tc>
      </w:tr>
      <w:tr w:rsidR="00AC1D77" w14:paraId="3FF9263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37FCC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Base original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A818A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120600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84919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Enero a junio · 8 de julio de 2025</w:t>
            </w:r>
          </w:p>
        </w:tc>
      </w:tr>
      <w:tr w:rsidR="00AC1D77" w14:paraId="48FD125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CCA0D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Actualización original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03109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20100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5F7B7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Julio · 8 de agosto de 2025</w:t>
            </w:r>
          </w:p>
        </w:tc>
      </w:tr>
      <w:tr w:rsidR="00AC1D77" w14:paraId="6649596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4FB1B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Ampliación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20570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100000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7703B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Agosto a diciembre · 8 de enero de 2026</w:t>
            </w:r>
          </w:p>
        </w:tc>
      </w:tr>
      <w:tr w:rsidR="00AC1D77" w14:paraId="4C278D1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7B9AF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B2C52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240700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FECAD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Incluye copias exactas originales</w:t>
            </w:r>
          </w:p>
        </w:tc>
      </w:tr>
    </w:tbl>
    <w:p w14:paraId="245CF9A3" w14:textId="77777777" w:rsidR="00AC1D77" w:rsidRDefault="00AC1D77">
      <w:pPr>
        <w:spacing w:after="0"/>
      </w:pPr>
    </w:p>
    <w:p w14:paraId="1DE197DE" w14:textId="77777777" w:rsidR="00AC1D77" w:rsidRDefault="00000000">
      <w:r>
        <w:t>Las 100.000 filas nuevas tienen claves principales distintas de las originales. Las tablas complementarias se suman a ese volumen. Los archivos originales no se modificaron. Use los tres lotes desde E1; E4 verifica reingesta y un cambio de reglas, no un lote secreto.</w:t>
      </w:r>
    </w:p>
    <w:p w14:paraId="728BD538" w14:textId="77777777" w:rsidR="00AC1D77" w:rsidRDefault="00000000">
      <w:r>
        <w:t>Los estados históricos no se actualizan retroactivamente. Cada lote conserva su fecha de corte. Las tablas complementarias de operación cubren agosto a diciembre; una ausencia de cobertura previa no equivale a cero actividad.</w:t>
      </w:r>
    </w:p>
    <w:p w14:paraId="797FC0AC" w14:textId="77777777" w:rsidR="00AC1D77" w:rsidRDefault="00000000">
      <w:r>
        <w:br w:type="page"/>
      </w:r>
    </w:p>
    <w:p w14:paraId="350F85F0" w14:textId="77777777" w:rsidR="00AC1D77" w:rsidRDefault="00000000">
      <w:pPr>
        <w:pStyle w:val="Ttulo1"/>
      </w:pPr>
      <w:r>
        <w:lastRenderedPageBreak/>
        <w:t>Modelo de datos y evaluación</w:t>
      </w:r>
    </w:p>
    <w:p w14:paraId="2F9220FB" w14:textId="77777777" w:rsidR="00AC1D77" w:rsidRDefault="00000000">
      <w:pPr>
        <w:pStyle w:val="Ttulo2"/>
      </w:pPr>
      <w:r>
        <w:t>destinos</w:t>
      </w:r>
    </w:p>
    <w:p w14:paraId="1407FA07" w14:textId="77777777" w:rsidR="00AC1D77" w:rsidRDefault="00000000">
      <w:r>
        <w:t>N:1 por destino_id para región y ruralidad.</w:t>
      </w:r>
    </w:p>
    <w:p w14:paraId="110FA4E7" w14:textId="77777777" w:rsidR="00AC1D77" w:rsidRDefault="00000000">
      <w:pPr>
        <w:pStyle w:val="Ttulo2"/>
      </w:pPr>
      <w:r>
        <w:t>sla historial</w:t>
      </w:r>
    </w:p>
    <w:p w14:paraId="2035FAE7" w14:textId="77777777" w:rsidR="00AC1D77" w:rsidRDefault="00000000">
      <w:r>
        <w:t>Destino, servicio y fecha de despacho dentro de la vigencia. El plazo rural cambia desde octubre. Usar sla_horas_vigente; no aplicar el catálogo estático de enero a todo el año.</w:t>
      </w:r>
    </w:p>
    <w:p w14:paraId="51E7203F" w14:textId="77777777" w:rsidR="00AC1D77" w:rsidRDefault="00000000">
      <w:pPr>
        <w:pStyle w:val="Ttulo2"/>
      </w:pPr>
      <w:r>
        <w:t>eventos envio</w:t>
      </w:r>
    </w:p>
    <w:p w14:paraId="2ACCF0CC" w14:textId="77777777" w:rsidR="00AC1D77" w:rsidRDefault="00000000">
      <w:r>
        <w:t>Dos eventos por envío nuevo. Agregar o pivotear antes de unir al hecho; nunca sumar costos tras una expansión 1:N.</w:t>
      </w:r>
    </w:p>
    <w:p w14:paraId="133E88C5" w14:textId="77777777" w:rsidR="00AC1D77" w:rsidRDefault="00000000">
      <w:pPr>
        <w:pStyle w:val="Ttulo2"/>
      </w:pPr>
      <w:r>
        <w:t>metas 2025 ancho</w:t>
      </w:r>
    </w:p>
    <w:p w14:paraId="6111AC0E" w14:textId="77777777" w:rsidR="00AC1D77" w:rsidRDefault="00000000">
      <w:r>
        <w:t>Destino, indicador y mes tras melt. Todas las metas son docentes.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584"/>
        <w:gridCol w:w="1584"/>
        <w:gridCol w:w="2736"/>
      </w:tblGrid>
      <w:tr w:rsidR="00AC1D77" w14:paraId="00248B70" w14:textId="77777777">
        <w:trPr>
          <w:cantSplit/>
          <w:tblHeader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0281A7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4EB70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Semana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906A0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Peso curso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FE0EB" w14:textId="77777777" w:rsidR="00AC1D77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Modalidad</w:t>
            </w:r>
          </w:p>
        </w:tc>
      </w:tr>
      <w:tr w:rsidR="00AC1D77" w14:paraId="069F4520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6091A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E1 Diagnóstico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7F3E1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3C0E2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10%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B685B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AC1D77" w14:paraId="08EE6EA9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2B9CD7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E2 Preparación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CB122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434B4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15%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69E94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AC1D77" w14:paraId="00A7A1A7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7EEA2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E3 Dashboard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AA142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7923BC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25%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CDD6E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Equipo</w:t>
            </w:r>
          </w:p>
        </w:tc>
      </w:tr>
      <w:tr w:rsidR="00AC1D77" w14:paraId="34C49C61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12B3B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E4 Defensa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44CAD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15 a 16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E70C6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10%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93360" w14:textId="77777777" w:rsidR="00AC1D77" w:rsidRDefault="00000000">
            <w:pPr>
              <w:spacing w:before="40" w:after="40" w:line="240" w:lineRule="auto"/>
            </w:pPr>
            <w:r>
              <w:rPr>
                <w:sz w:val="20"/>
              </w:rPr>
              <w:t>Individual</w:t>
            </w:r>
          </w:p>
        </w:tc>
      </w:tr>
    </w:tbl>
    <w:p w14:paraId="75AFF90C" w14:textId="77777777" w:rsidR="00AC1D77" w:rsidRDefault="00AC1D77">
      <w:pPr>
        <w:spacing w:after="0"/>
      </w:pPr>
    </w:p>
    <w:p w14:paraId="7AF229F5" w14:textId="77777777" w:rsidR="00AC1D77" w:rsidRDefault="00000000">
      <w:r>
        <w:t>E1 a E4 suman 60% del curso. Se mantienen controles de lectura 20% y certamen práctico 20%. Las fechas definitivas se publican en el aula virtual. Los cuatro documentos de la carpeta entregas contienen instrucciones y rúbricas específicas.</w:t>
      </w:r>
    </w:p>
    <w:p w14:paraId="37408BB9" w14:textId="77777777" w:rsidR="00AC1D77" w:rsidRDefault="00000000">
      <w:pPr>
        <w:pStyle w:val="Ttulo2"/>
      </w:pPr>
      <w:r>
        <w:t>Archivos de trabajo</w:t>
      </w:r>
    </w:p>
    <w:p w14:paraId="423D0B74" w14:textId="77777777" w:rsidR="00AC1D77" w:rsidRDefault="00000000">
      <w:r>
        <w:t>Lea diccionario_datos.csv y metadatos.json. Abra 00_inicio.ipynb desde esta carpeta. Conserve originales; registre políticas, exclusiones y dependencias. Cada equipo entrega un solo caso. No se requiere entrenar modelos predictivos.</w:t>
      </w:r>
    </w:p>
    <w:p w14:paraId="3AED336A" w14:textId="77777777" w:rsidR="00AC1D77" w:rsidRDefault="00000000">
      <w:pPr>
        <w:pStyle w:val="Ttulo2"/>
      </w:pPr>
      <w:r>
        <w:t>Referencias</w:t>
      </w:r>
    </w:p>
    <w:p w14:paraId="38DA2DEB" w14:textId="77777777" w:rsidR="00AC1D77" w:rsidRDefault="00000000">
      <w:r>
        <w:t>Contexto público: https://www.chilexpress.cl/</w:t>
      </w:r>
    </w:p>
    <w:p w14:paraId="252063FE" w14:textId="77777777" w:rsidR="00AC1D77" w:rsidRDefault="00000000">
      <w:r>
        <w:t>Método: pandas (uniones y datos ausentes), Wickham (2014), Tidy Data, y Munzner (2014). Enlaces completos en README.md; métodos revisados el 1 de octubre de 2026.</w:t>
      </w:r>
    </w:p>
    <w:sectPr w:rsidR="00AC1D7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703315" w14:textId="77777777" w:rsidR="00180131" w:rsidRDefault="00180131">
      <w:pPr>
        <w:spacing w:after="0" w:line="240" w:lineRule="auto"/>
      </w:pPr>
      <w:r>
        <w:separator/>
      </w:r>
    </w:p>
  </w:endnote>
  <w:endnote w:type="continuationSeparator" w:id="0">
    <w:p w14:paraId="57D4EC56" w14:textId="77777777" w:rsidR="00180131" w:rsidRDefault="00180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8B51D5" w14:textId="77777777" w:rsidR="00AC1D77" w:rsidRDefault="00000000">
    <w:pPr>
      <w:pStyle w:val="Piedepgina"/>
      <w:jc w:val="right"/>
    </w:pPr>
    <w:proofErr w:type="spellStart"/>
    <w:r>
      <w:rPr>
        <w:sz w:val="18"/>
      </w:rPr>
      <w:t>Visualización</w:t>
    </w:r>
    <w:proofErr w:type="spellEnd"/>
    <w:r>
      <w:rPr>
        <w:sz w:val="18"/>
      </w:rPr>
      <w:t xml:space="preserve"> de Datos · </w:t>
    </w:r>
    <w:r>
      <w:fldChar w:fldCharType="begin"/>
    </w:r>
    <w:r>
      <w:instrText>PAGE</w:instrText>
    </w:r>
    <w:r>
      <w:fldChar w:fldCharType="separate"/>
    </w:r>
    <w:r w:rsidR="005E12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1CBA91" w14:textId="77777777" w:rsidR="00180131" w:rsidRDefault="00180131">
      <w:pPr>
        <w:spacing w:after="0" w:line="240" w:lineRule="auto"/>
      </w:pPr>
      <w:r>
        <w:separator/>
      </w:r>
    </w:p>
  </w:footnote>
  <w:footnote w:type="continuationSeparator" w:id="0">
    <w:p w14:paraId="7A2B9DC0" w14:textId="77777777" w:rsidR="00180131" w:rsidRDefault="00180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2314A" w14:textId="77777777" w:rsidR="005E126C" w:rsidRPr="00DF3C6E" w:rsidRDefault="005E126C" w:rsidP="005E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 w:rsidRPr="00DF3C6E">
      <w:rPr>
        <w:rFonts w:ascii="Times New Roman" w:eastAsia="Times New Roman" w:hAnsi="Times New Roman" w:cs="Times New Roman"/>
        <w:noProof/>
        <w:color w:val="auto"/>
        <w:sz w:val="18"/>
        <w:szCs w:val="18"/>
        <w:lang w:val="es-CL" w:eastAsia="es-MX"/>
      </w:rPr>
      <w:drawing>
        <wp:anchor distT="57150" distB="57150" distL="57150" distR="57150" simplePos="0" relativeHeight="251659264" behindDoc="0" locked="0" layoutInCell="1" hidden="0" allowOverlap="1" wp14:anchorId="65BD4D2A" wp14:editId="2A4624C4">
          <wp:simplePos x="0" y="0"/>
          <wp:positionH relativeFrom="column">
            <wp:posOffset>-60556</wp:posOffset>
          </wp:positionH>
          <wp:positionV relativeFrom="paragraph">
            <wp:posOffset>-123825</wp:posOffset>
          </wp:positionV>
          <wp:extent cx="349250" cy="470535"/>
          <wp:effectExtent l="0" t="0" r="6350" b="0"/>
          <wp:wrapSquare wrapText="bothSides" distT="57150" distB="57150" distL="57150" distR="57150"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250" cy="470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UNIVERSIDAD DE SANTIAGO DE CHILE</w:t>
    </w:r>
  </w:p>
  <w:p w14:paraId="3C09E549" w14:textId="77777777" w:rsidR="005E126C" w:rsidRPr="00DF3C6E" w:rsidRDefault="005E126C" w:rsidP="005E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Arial" w:hAnsi="Times New Roman" w:cs="Times New Roman"/>
        <w:sz w:val="13"/>
        <w:szCs w:val="13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DEPARTAMENTO DE INFORMÁTICA</w:t>
    </w:r>
  </w:p>
  <w:p w14:paraId="62ADEFAB" w14:textId="77777777" w:rsidR="005E126C" w:rsidRPr="00DF3C6E" w:rsidRDefault="005E126C" w:rsidP="005E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sz w:val="18"/>
        <w:szCs w:val="18"/>
        <w:lang w:val="es-CL" w:eastAsia="es-MX"/>
      </w:rPr>
    </w:pPr>
    <w:r>
      <w:rPr>
        <w:rFonts w:ascii="Times New Roman" w:eastAsia="Arial" w:hAnsi="Times New Roman" w:cs="Times New Roman"/>
        <w:sz w:val="13"/>
        <w:szCs w:val="13"/>
        <w:lang w:val="es-CL" w:eastAsia="es-MX"/>
      </w:rPr>
      <w:t xml:space="preserve">                 </w:t>
    </w:r>
    <w:r w:rsidRPr="00DF3C6E">
      <w:rPr>
        <w:rFonts w:ascii="Times New Roman" w:eastAsia="Arial" w:hAnsi="Times New Roman" w:cs="Times New Roman"/>
        <w:sz w:val="13"/>
        <w:szCs w:val="13"/>
        <w:lang w:val="es-CL" w:eastAsia="es-MX"/>
      </w:rPr>
      <w:t>SANTIAGO</w: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45D05E45" w14:textId="77777777" w:rsidR="005E126C" w:rsidRPr="00DF3C6E" w:rsidRDefault="005E126C" w:rsidP="005E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sz w:val="20"/>
        <w:szCs w:val="20"/>
        <w:lang w:val="es-CL" w:eastAsia="es-MX"/>
      </w:rPr>
    </w:pPr>
    <w:r w:rsidRPr="00DF3C6E">
      <w:rPr>
        <w:rFonts w:ascii="Times New Roman" w:eastAsia="Times New Roman" w:hAnsi="Times New Roman" w:cs="Times New Roman"/>
        <w:noProof/>
        <w:sz w:val="24"/>
        <w:szCs w:val="24"/>
        <w:lang w:val="es-CL"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FD4B3E" wp14:editId="133C73C6">
              <wp:simplePos x="0" y="0"/>
              <wp:positionH relativeFrom="column">
                <wp:posOffset>0</wp:posOffset>
              </wp:positionH>
              <wp:positionV relativeFrom="paragraph">
                <wp:posOffset>93980</wp:posOffset>
              </wp:positionV>
              <wp:extent cx="5940000" cy="0"/>
              <wp:effectExtent l="0" t="0" r="16510" b="12700"/>
              <wp:wrapNone/>
              <wp:docPr id="173041007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E82571" id="Conector recto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pt" to="467.7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" strokecolor="windowText" strokeweight="1pt"/>
          </w:pict>
        </mc:Fallback>
      </mc:AlternateContent>
    </w:r>
    <w:r w:rsidRPr="00DF3C6E">
      <w:rPr>
        <w:rFonts w:ascii="Times New Roman" w:eastAsia="Times New Roman" w:hAnsi="Times New Roman" w:cs="Times New Roman"/>
        <w:sz w:val="24"/>
        <w:szCs w:val="24"/>
        <w:lang w:val="es-CL" w:eastAsia="es-MX"/>
      </w:rPr>
      <w:tab/>
    </w:r>
  </w:p>
  <w:p w14:paraId="60AFA4CD" w14:textId="77777777" w:rsidR="005E126C" w:rsidRDefault="005E12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982244">
    <w:abstractNumId w:val="8"/>
  </w:num>
  <w:num w:numId="2" w16cid:durableId="862522292">
    <w:abstractNumId w:val="6"/>
  </w:num>
  <w:num w:numId="3" w16cid:durableId="609556435">
    <w:abstractNumId w:val="5"/>
  </w:num>
  <w:num w:numId="4" w16cid:durableId="1831822490">
    <w:abstractNumId w:val="4"/>
  </w:num>
  <w:num w:numId="5" w16cid:durableId="444809539">
    <w:abstractNumId w:val="7"/>
  </w:num>
  <w:num w:numId="6" w16cid:durableId="593128733">
    <w:abstractNumId w:val="3"/>
  </w:num>
  <w:num w:numId="7" w16cid:durableId="848954551">
    <w:abstractNumId w:val="2"/>
  </w:num>
  <w:num w:numId="8" w16cid:durableId="210895395">
    <w:abstractNumId w:val="1"/>
  </w:num>
  <w:num w:numId="9" w16cid:durableId="697466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131"/>
    <w:rsid w:val="0029639D"/>
    <w:rsid w:val="00326F90"/>
    <w:rsid w:val="005E126C"/>
    <w:rsid w:val="00AA1D8D"/>
    <w:rsid w:val="00AC1D77"/>
    <w:rsid w:val="00B47730"/>
    <w:rsid w:val="00C676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E42A0F"/>
  <w14:defaultImageDpi w14:val="300"/>
  <w15:docId w15:val="{44C2983B-035F-3D41-9A55-EE68B526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2496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Chilexpress cumplimiento y capacidad de reparto</dc:title>
  <dc:subject/>
  <dc:creator>Viktor Tapia</dc:creator>
  <cp:keywords/>
  <dc:description>generated by python-docx</dc:description>
  <cp:lastModifiedBy>Viktor Tapia</cp:lastModifiedBy>
  <cp:revision>2</cp:revision>
  <dcterms:created xsi:type="dcterms:W3CDTF">2013-12-23T23:15:00Z</dcterms:created>
  <dcterms:modified xsi:type="dcterms:W3CDTF">2026-10-06T12:12:00Z</dcterms:modified>
  <cp:category/>
</cp:coreProperties>
</file>