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D27F" w14:textId="70A09C76" w:rsidR="00C36AA1" w:rsidRPr="004C6486" w:rsidRDefault="00C36AA1" w:rsidP="0043669C">
      <w:pPr>
        <w:spacing w:line="360" w:lineRule="auto"/>
        <w:rPr>
          <w:rFonts w:ascii="Times New Roman" w:hAnsi="Times New Roman" w:cs="Times New Roman"/>
          <w:sz w:val="24"/>
          <w:szCs w:val="24"/>
        </w:rPr>
      </w:pPr>
      <w:r w:rsidRPr="004C6486">
        <w:rPr>
          <w:rFonts w:ascii="Times New Roman" w:hAnsi="Times New Roman" w:cs="Times New Roman"/>
          <w:sz w:val="24"/>
          <w:szCs w:val="24"/>
        </w:rPr>
        <w:t xml:space="preserve">Jérôme Hudon </w:t>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t xml:space="preserve">             </w:t>
      </w:r>
      <w:r w:rsidR="00B2476C" w:rsidRPr="004C6486">
        <w:rPr>
          <w:rFonts w:ascii="Times New Roman" w:hAnsi="Times New Roman" w:cs="Times New Roman"/>
          <w:sz w:val="24"/>
          <w:szCs w:val="24"/>
        </w:rPr>
        <w:t xml:space="preserve"> </w:t>
      </w:r>
      <w:r w:rsidR="004C6486">
        <w:rPr>
          <w:rFonts w:ascii="Times New Roman" w:hAnsi="Times New Roman" w:cs="Times New Roman"/>
          <w:sz w:val="24"/>
          <w:szCs w:val="24"/>
        </w:rPr>
        <w:t xml:space="preserve">            </w:t>
      </w:r>
      <w:r w:rsidR="002E29E3" w:rsidRPr="004C6486">
        <w:rPr>
          <w:rFonts w:ascii="Times New Roman" w:hAnsi="Times New Roman" w:cs="Times New Roman"/>
          <w:sz w:val="24"/>
          <w:szCs w:val="24"/>
        </w:rPr>
        <w:t xml:space="preserve">3 </w:t>
      </w:r>
      <w:r w:rsidR="004C6486" w:rsidRPr="004C6486">
        <w:rPr>
          <w:rFonts w:ascii="Times New Roman" w:hAnsi="Times New Roman" w:cs="Times New Roman"/>
          <w:sz w:val="24"/>
          <w:szCs w:val="24"/>
        </w:rPr>
        <w:t>janvier</w:t>
      </w:r>
      <w:r w:rsidR="002E29E3" w:rsidRPr="004C6486">
        <w:rPr>
          <w:rFonts w:ascii="Times New Roman" w:hAnsi="Times New Roman" w:cs="Times New Roman"/>
          <w:sz w:val="24"/>
          <w:szCs w:val="24"/>
        </w:rPr>
        <w:t xml:space="preserve"> 2024</w:t>
      </w:r>
      <w:r w:rsidRPr="004C6486">
        <w:rPr>
          <w:rFonts w:ascii="Times New Roman" w:hAnsi="Times New Roman" w:cs="Times New Roman"/>
          <w:sz w:val="24"/>
          <w:szCs w:val="24"/>
        </w:rPr>
        <w:br/>
        <w:t>Foyer 551</w:t>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r>
      <w:r w:rsidR="002E29E3" w:rsidRPr="004C6486">
        <w:rPr>
          <w:rFonts w:ascii="Times New Roman" w:hAnsi="Times New Roman" w:cs="Times New Roman"/>
          <w:sz w:val="24"/>
          <w:szCs w:val="24"/>
        </w:rPr>
        <w:tab/>
        <w:t xml:space="preserve">           </w:t>
      </w:r>
      <w:r w:rsidR="00B2476C" w:rsidRPr="004C6486">
        <w:rPr>
          <w:rFonts w:ascii="Times New Roman" w:hAnsi="Times New Roman" w:cs="Times New Roman"/>
          <w:sz w:val="24"/>
          <w:szCs w:val="24"/>
        </w:rPr>
        <w:t xml:space="preserve">       </w:t>
      </w:r>
      <w:r w:rsidR="002E29E3" w:rsidRPr="004C6486">
        <w:rPr>
          <w:rFonts w:ascii="Times New Roman" w:hAnsi="Times New Roman" w:cs="Times New Roman"/>
          <w:sz w:val="24"/>
          <w:szCs w:val="24"/>
        </w:rPr>
        <w:t xml:space="preserve">      Histoire</w:t>
      </w:r>
    </w:p>
    <w:p w14:paraId="6A1A33FA" w14:textId="3C8406D5" w:rsidR="00C36AA1" w:rsidRPr="004C6486" w:rsidRDefault="00C36AA1" w:rsidP="009D6506">
      <w:pPr>
        <w:spacing w:line="360" w:lineRule="auto"/>
        <w:jc w:val="center"/>
        <w:rPr>
          <w:rFonts w:ascii="Times New Roman" w:hAnsi="Times New Roman" w:cs="Times New Roman"/>
          <w:sz w:val="28"/>
          <w:szCs w:val="28"/>
          <w:u w:val="single"/>
        </w:rPr>
      </w:pPr>
      <w:r w:rsidRPr="004C6486">
        <w:rPr>
          <w:rFonts w:ascii="Times New Roman" w:hAnsi="Times New Roman" w:cs="Times New Roman"/>
          <w:sz w:val="28"/>
          <w:szCs w:val="28"/>
          <w:u w:val="single"/>
        </w:rPr>
        <w:t xml:space="preserve">Le </w:t>
      </w:r>
      <w:r w:rsidR="002D43B6">
        <w:rPr>
          <w:rFonts w:ascii="Times New Roman" w:hAnsi="Times New Roman" w:cs="Times New Roman"/>
          <w:sz w:val="28"/>
          <w:szCs w:val="28"/>
          <w:u w:val="single"/>
        </w:rPr>
        <w:t>Napoléon</w:t>
      </w:r>
      <w:r w:rsidRPr="004C6486">
        <w:rPr>
          <w:rFonts w:ascii="Times New Roman" w:hAnsi="Times New Roman" w:cs="Times New Roman"/>
          <w:sz w:val="28"/>
          <w:szCs w:val="28"/>
          <w:u w:val="single"/>
        </w:rPr>
        <w:t xml:space="preserve"> </w:t>
      </w:r>
      <w:r w:rsidR="00590041" w:rsidRPr="004C6486">
        <w:rPr>
          <w:rFonts w:ascii="Times New Roman" w:hAnsi="Times New Roman" w:cs="Times New Roman"/>
          <w:sz w:val="28"/>
          <w:szCs w:val="28"/>
          <w:u w:val="single"/>
        </w:rPr>
        <w:t>de Wall Street</w:t>
      </w:r>
    </w:p>
    <w:p w14:paraId="045078B2" w14:textId="77777777" w:rsidR="00A36421" w:rsidRPr="004C6486" w:rsidRDefault="00A36421" w:rsidP="009D6506">
      <w:pPr>
        <w:spacing w:line="360" w:lineRule="auto"/>
        <w:rPr>
          <w:rFonts w:ascii="Times New Roman" w:hAnsi="Times New Roman" w:cs="Times New Roman"/>
          <w:sz w:val="24"/>
          <w:szCs w:val="24"/>
        </w:rPr>
      </w:pPr>
    </w:p>
    <w:p w14:paraId="7710F2EA" w14:textId="77777777" w:rsidR="00137F81" w:rsidRDefault="00137F81" w:rsidP="004377D9">
      <w:pPr>
        <w:spacing w:line="360" w:lineRule="auto"/>
        <w:jc w:val="both"/>
        <w:rPr>
          <w:rFonts w:ascii="Times New Roman" w:hAnsi="Times New Roman" w:cs="Times New Roman"/>
          <w:sz w:val="24"/>
          <w:szCs w:val="24"/>
        </w:rPr>
      </w:pPr>
      <w:r>
        <w:rPr>
          <w:rFonts w:ascii="Times New Roman" w:hAnsi="Times New Roman" w:cs="Times New Roman"/>
          <w:sz w:val="24"/>
          <w:szCs w:val="24"/>
        </w:rPr>
        <w:t>Durant la deuxième moitié du 19ᵉ</w:t>
      </w:r>
      <w:r>
        <w:rPr>
          <w:rFonts w:ascii="Times New Roman" w:hAnsi="Times New Roman" w:cs="Times New Roman"/>
          <w:sz w:val="24"/>
          <w:szCs w:val="24"/>
          <w:vertAlign w:val="superscript"/>
        </w:rPr>
        <w:t> </w:t>
      </w:r>
      <w:r>
        <w:rPr>
          <w:rFonts w:ascii="Times New Roman" w:hAnsi="Times New Roman" w:cs="Times New Roman"/>
          <w:sz w:val="24"/>
          <w:szCs w:val="24"/>
        </w:rPr>
        <w:t xml:space="preserve">siècle, une époque de prospérité économique et de développement de nombreuses industries a eu lieu. Cette époque est surnommée </w:t>
      </w:r>
      <w:r>
        <w:rPr>
          <w:rFonts w:ascii="Times New Roman" w:hAnsi="Times New Roman" w:cs="Times New Roman"/>
          <w:i/>
          <w:iCs/>
          <w:sz w:val="24"/>
          <w:szCs w:val="24"/>
        </w:rPr>
        <w:t>«</w:t>
      </w:r>
      <w:r>
        <w:rPr>
          <w:rFonts w:ascii="Times New Roman" w:hAnsi="Times New Roman" w:cs="Times New Roman"/>
          <w:sz w:val="24"/>
          <w:szCs w:val="24"/>
        </w:rPr>
        <w:t> </w:t>
      </w:r>
      <w:r>
        <w:rPr>
          <w:rFonts w:ascii="Times New Roman" w:hAnsi="Times New Roman" w:cs="Times New Roman"/>
          <w:i/>
          <w:iCs/>
          <w:sz w:val="24"/>
          <w:szCs w:val="24"/>
        </w:rPr>
        <w:t xml:space="preserve">The Gilded Age ». </w:t>
      </w:r>
      <w:r>
        <w:rPr>
          <w:rFonts w:ascii="Times New Roman" w:hAnsi="Times New Roman" w:cs="Times New Roman"/>
          <w:sz w:val="24"/>
          <w:szCs w:val="24"/>
        </w:rPr>
        <w:t xml:space="preserve">Durant cette période, quelques hommes d’affaires en profitent pour agrandir leur fortune. John Pierpont Morgan fut l’un d’entre eux. Alors, voici quelques questions que nous pouvons nous poser le concernant : Comment est-il devenu si influent ? Quelles ont été ses compagnies les plus importantes ? </w:t>
      </w:r>
    </w:p>
    <w:p w14:paraId="6043FFDB" w14:textId="77777777" w:rsidR="00137F81" w:rsidRDefault="00137F81" w:rsidP="004377D9">
      <w:pPr>
        <w:spacing w:line="360" w:lineRule="auto"/>
        <w:jc w:val="both"/>
        <w:rPr>
          <w:rFonts w:ascii="Times New Roman" w:hAnsi="Times New Roman" w:cs="Times New Roman"/>
          <w:sz w:val="24"/>
          <w:szCs w:val="24"/>
        </w:rPr>
      </w:pPr>
    </w:p>
    <w:p w14:paraId="2BBB5059" w14:textId="77777777" w:rsidR="00137F81" w:rsidRDefault="00137F81" w:rsidP="004377D9">
      <w:pPr>
        <w:spacing w:line="360" w:lineRule="auto"/>
        <w:jc w:val="both"/>
      </w:pPr>
      <w:r>
        <w:rPr>
          <w:rFonts w:ascii="Times New Roman" w:hAnsi="Times New Roman" w:cs="Times New Roman"/>
          <w:sz w:val="24"/>
          <w:szCs w:val="24"/>
        </w:rPr>
        <w:t>Tout au long de son règne économique, la réputation de J. P. Morgan a eu des hauts et des bas. En effet, il a été considéré comme un « baron voleur ». Ce nom est donné à certains entrepreneurs américains, riches et influents, qui utilisaient des techniques commerciales peu éthiques au 19ᵉ siècle. Par exemple, le sous-paiement des employés, la corruption et la création de « trusts » pour neutraliser la concurrence et ainsi obtenir le monopole de certains marchés. Morgan était considéré comme un héros après ses initiatives pendant la Panique bancaire américaine de 1907. En effet, il a donné de l’argent de sa poche aux banques en difficulté pour les sortir de la faillite et surtout pour restaurer la confiance du public dans le système financier.</w:t>
      </w:r>
    </w:p>
    <w:p w14:paraId="4C062D5D" w14:textId="77777777" w:rsidR="00137F81" w:rsidRDefault="00137F81" w:rsidP="004377D9">
      <w:pPr>
        <w:spacing w:line="360" w:lineRule="auto"/>
        <w:jc w:val="both"/>
      </w:pPr>
    </w:p>
    <w:p w14:paraId="24072A1E"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sz w:val="24"/>
          <w:szCs w:val="24"/>
        </w:rPr>
        <w:t xml:space="preserve">C’est à l’âge de 20 ans qu’il rejoint la firme dans laquelle son père est un associé en 1857. Son père étant influent dans le monde de la finance, cela a rendu J. P. indirectement influent lui aussi. Alors, cela lui permit d’investir dans l’un des domaines les plus puissants des États-Unis ; les chemins de fer. Il développa et finança un empire de chemins de fer nationaux en les réorganisant et en les consolidant. Il ne voulait pas juste faire partie des financiers, il les gérait et les réorganisait activement, ce qui augmentait leur efficacité. En effet, il réorganisa le </w:t>
      </w:r>
      <w:r>
        <w:rPr>
          <w:rFonts w:ascii="Times New Roman" w:hAnsi="Times New Roman" w:cs="Times New Roman"/>
          <w:color w:val="202122"/>
          <w:sz w:val="24"/>
          <w:szCs w:val="24"/>
          <w:shd w:val="clear" w:color="auto" w:fill="FFFFFF"/>
        </w:rPr>
        <w:t xml:space="preserve">New York, West Shore &amp; Buffalo Railroad et le loua au New York </w:t>
      </w:r>
      <w:r>
        <w:rPr>
          <w:rFonts w:ascii="Times New Roman" w:hAnsi="Times New Roman" w:cs="Times New Roman"/>
          <w:color w:val="202122"/>
          <w:sz w:val="24"/>
          <w:szCs w:val="24"/>
          <w:shd w:val="clear" w:color="auto" w:fill="FFFFFF"/>
        </w:rPr>
        <w:lastRenderedPageBreak/>
        <w:t xml:space="preserve">Central. Aussi, il réorganisa le Philadelphia &amp; Reading en 1886 et le Chesapeake &amp; Ohio en 1888. En 1890, son père décéda et il prit le contrôle de la J.S. Morgan and Company. Après la mort de Drexel, en 1895, il renomma sa firme J. P. Morgan and Company. Étant proche de plusieurs autres banques d’affaires, vers 1900, sa banque devient l’une des plus puissantes au monde. </w:t>
      </w:r>
    </w:p>
    <w:p w14:paraId="41E798DD"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p>
    <w:p w14:paraId="6CE03990"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En 1889, la compagnie Drexel, Morgan &amp; Co. fondée par J.P. Morgan et Anthony Drexel a financé la recherche de Thomas Edison et l'a aidé à fusionner plusieurs de ses compagnies qui étaient toutes séparées pour créer une seule compagnie : l'Edison General Electric Company. La compagnie General Electric a été formée à la suite de la fusion d'Edison General Electric Company et Thomson-Houston Electric Compagny avec le support de Drexel, Morgan &amp; Co. Aujourd’hui, la compagnie s’appelle encore General Electric.</w:t>
      </w:r>
    </w:p>
    <w:p w14:paraId="710D3D00"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p>
    <w:p w14:paraId="23EA1439"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En 1900, Morgan négociait avec Andrew Carnegie pour acheter son entreprise qui produisait de l’acier pour la fusionner avec plusieurs autres qui produisent du charbon, des entreprises minières et des compagnies de transport. Ensuite, en 1901, il fusionna la Federal Steel Company avec la Carnegie Steel Company avec plusieurs compagnies de fer et d’autres d’acier pour créer la United States Steel Corporation (U.S. Steel). Cette entreprise deviendra la première entreprise milliardaire au monde, avec une valeur de 1,4 milliard, ce qui est plus gros que n’importe quelle compagnie industrielle et qui est comparable aux plus gros chemins de fer. Les objectifs de U.S. Steel étaient de réduire les coûts de transport, les prix des ressources, élargir les lignes de production, et améliorer la distribution pour faire en sorte que les États-Unis puissent rivaliser avec l’Angleterre et l’Allemagne.</w:t>
      </w:r>
    </w:p>
    <w:p w14:paraId="6616A5D9" w14:textId="77777777" w:rsidR="00137F81" w:rsidRDefault="00137F81" w:rsidP="004377D9">
      <w:pPr>
        <w:spacing w:line="360" w:lineRule="auto"/>
        <w:jc w:val="both"/>
        <w:rPr>
          <w:rFonts w:ascii="Times New Roman" w:hAnsi="Times New Roman" w:cs="Times New Roman"/>
          <w:color w:val="202122"/>
          <w:sz w:val="24"/>
          <w:szCs w:val="24"/>
          <w:shd w:val="clear" w:color="auto" w:fill="FFFFFF"/>
        </w:rPr>
      </w:pPr>
    </w:p>
    <w:p w14:paraId="0DE55931" w14:textId="77777777" w:rsidR="00137F81" w:rsidRDefault="00137F81" w:rsidP="004377D9">
      <w:pPr>
        <w:spacing w:line="360" w:lineRule="auto"/>
        <w:jc w:val="both"/>
        <w:rPr>
          <w:rFonts w:ascii="Times New Roman" w:hAnsi="Times New Roman" w:cs="Times New Roman"/>
          <w:sz w:val="24"/>
          <w:szCs w:val="24"/>
          <w:shd w:val="clear" w:color="auto" w:fill="FFFFFF"/>
        </w:rPr>
      </w:pPr>
      <w:r>
        <w:rPr>
          <w:rFonts w:ascii="Times New Roman" w:hAnsi="Times New Roman" w:cs="Times New Roman"/>
          <w:color w:val="202122"/>
          <w:sz w:val="24"/>
          <w:szCs w:val="24"/>
          <w:shd w:val="clear" w:color="auto" w:fill="FFFFFF"/>
        </w:rPr>
        <w:t xml:space="preserve">En 1901, un compromis entre Morgan, E. H. Harriman, un financier de New York et James J. Hill, un constructeur de chemin de fer, a eu lieu. Pour réduire la compétition dans le Midwest, ils ont créé la Northern Securities Company qui va servir à fusionner trois chemins de fer importants de la région : le </w:t>
      </w:r>
      <w:r>
        <w:rPr>
          <w:rFonts w:ascii="Times New Roman" w:hAnsi="Times New Roman" w:cs="Times New Roman"/>
          <w:sz w:val="24"/>
          <w:szCs w:val="24"/>
          <w:shd w:val="clear" w:color="auto" w:fill="FFFFFF"/>
        </w:rPr>
        <w:t>Northern Pacific Railway</w:t>
      </w:r>
      <w:r>
        <w:rPr>
          <w:rFonts w:ascii="Times New Roman" w:hAnsi="Times New Roman" w:cs="Times New Roman"/>
          <w:color w:val="202122"/>
          <w:sz w:val="24"/>
          <w:szCs w:val="24"/>
          <w:shd w:val="clear" w:color="auto" w:fill="FFFFFF"/>
        </w:rPr>
        <w:t>, le </w:t>
      </w:r>
      <w:r>
        <w:rPr>
          <w:rFonts w:ascii="Times New Roman" w:hAnsi="Times New Roman" w:cs="Times New Roman"/>
          <w:sz w:val="24"/>
          <w:szCs w:val="24"/>
          <w:shd w:val="clear" w:color="auto" w:fill="FFFFFF"/>
        </w:rPr>
        <w:t>Great Northern Railway</w:t>
      </w:r>
      <w:r>
        <w:rPr>
          <w:rFonts w:ascii="Times New Roman" w:hAnsi="Times New Roman" w:cs="Times New Roman"/>
          <w:color w:val="202122"/>
          <w:sz w:val="24"/>
          <w:szCs w:val="24"/>
          <w:shd w:val="clear" w:color="auto" w:fill="FFFFFF"/>
        </w:rPr>
        <w:t>, et le </w:t>
      </w:r>
      <w:r>
        <w:rPr>
          <w:rFonts w:ascii="Times New Roman" w:hAnsi="Times New Roman" w:cs="Times New Roman"/>
          <w:sz w:val="24"/>
          <w:szCs w:val="24"/>
          <w:shd w:val="clear" w:color="auto" w:fill="FFFFFF"/>
        </w:rPr>
        <w:t xml:space="preserve">Chicago, Burlington and Quincy Railroad. Mais, le président Theodore </w:t>
      </w:r>
      <w:r>
        <w:rPr>
          <w:rFonts w:ascii="Times New Roman" w:hAnsi="Times New Roman" w:cs="Times New Roman"/>
          <w:sz w:val="24"/>
          <w:szCs w:val="24"/>
          <w:shd w:val="clear" w:color="auto" w:fill="FFFFFF"/>
        </w:rPr>
        <w:lastRenderedPageBreak/>
        <w:t>Roosevelt va s’opposer à cette fusion en disant qu’il est mauvais pour les consommateurs et qu’il transgresse le Sherman Antitrust Act de 1890. Alors la Cour Suprême a dissous la compagnie en 1904. Morgan ne perdra aucun argent, mais sa puissante réputation en prendra un coup.</w:t>
      </w:r>
    </w:p>
    <w:p w14:paraId="329B5ABC" w14:textId="77777777" w:rsidR="00137F81" w:rsidRDefault="00137F81" w:rsidP="004377D9">
      <w:pPr>
        <w:spacing w:line="360" w:lineRule="auto"/>
        <w:jc w:val="both"/>
        <w:rPr>
          <w:rFonts w:ascii="Times New Roman" w:hAnsi="Times New Roman" w:cs="Times New Roman"/>
          <w:sz w:val="24"/>
          <w:szCs w:val="24"/>
          <w:shd w:val="clear" w:color="auto" w:fill="FFFFFF"/>
        </w:rPr>
      </w:pPr>
    </w:p>
    <w:p w14:paraId="0CF49F0A" w14:textId="77777777" w:rsidR="00137F81" w:rsidRDefault="00137F81" w:rsidP="004377D9">
      <w:pPr>
        <w:spacing w:line="360" w:lineRule="auto"/>
        <w:jc w:val="both"/>
        <w:rPr>
          <w:rFonts w:ascii="Times New Roman" w:hAnsi="Times New Roman" w:cs="Times New Roman"/>
          <w:color w:val="000000"/>
          <w:sz w:val="24"/>
          <w:szCs w:val="24"/>
          <w:lang w:val="en-US"/>
        </w:rPr>
      </w:pPr>
      <w:r>
        <w:rPr>
          <w:rFonts w:ascii="Times New Roman" w:hAnsi="Times New Roman" w:cs="Times New Roman"/>
          <w:sz w:val="24"/>
          <w:szCs w:val="24"/>
          <w:shd w:val="clear" w:color="auto" w:fill="FFFFFF"/>
        </w:rPr>
        <w:t xml:space="preserve">En 1902, Morgan a financé la formation de l'International Mercantile Marine Co. (IMMC), une compagnie de transport maritime transatlantique. Elle a pris le contrôle de plusieurs grandes compagnies américaines et britanniques dans le but d’avoir le monopole du commerce maritime. De plus, Morgan espérait dominer le transport maritime transatlantique avec ses arrangements avec les chemins de fer, mais cela se prouva impossible à cause des imprévus du transport maritime et des lois « antitrust » des États-Unis. La White Star Line étant l’une des plus grandes compagnies maritimes, fut le principal objectif de Morgan. Pour l’obtenir, il offrit aux actionnaires de la compagnie 10 fois la valeur des revenus qu’ils avaient générés en 1900. En 1912, la White Star Line mit en service le Titanic. J.P. Morgan était censé faire partie du voyage d’inauguration, mais il annula sa traversée et resta à Aix-les-Bains pour fêter son anniversaire. Cela lui sauva la vie puisque le Titanic fit naufrage seulement quatre jours après être parti de Southampton. Quelques jours après le naufrage, Morgan dit à un journaliste du </w:t>
      </w:r>
      <w:r>
        <w:rPr>
          <w:rFonts w:ascii="Times New Roman" w:hAnsi="Times New Roman" w:cs="Times New Roman"/>
          <w:i/>
          <w:iCs/>
          <w:sz w:val="24"/>
          <w:szCs w:val="24"/>
          <w:shd w:val="clear" w:color="auto" w:fill="FFFFFF"/>
        </w:rPr>
        <w:t>New York Times</w:t>
      </w:r>
      <w:r>
        <w:rPr>
          <w:rFonts w:ascii="Times New Roman" w:hAnsi="Times New Roman" w:cs="Times New Roman"/>
          <w:sz w:val="24"/>
          <w:szCs w:val="24"/>
          <w:shd w:val="clear" w:color="auto" w:fill="FFFFFF"/>
        </w:rPr>
        <w:t> : « </w:t>
      </w:r>
      <w:proofErr w:type="spellStart"/>
      <w:r>
        <w:rPr>
          <w:rFonts w:ascii="Times New Roman" w:hAnsi="Times New Roman" w:cs="Times New Roman"/>
          <w:color w:val="000000"/>
          <w:sz w:val="24"/>
          <w:szCs w:val="24"/>
        </w:rPr>
        <w:t>Monetary</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losses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amount</w:t>
      </w:r>
      <w:proofErr w:type="spellEnd"/>
      <w:r>
        <w:rPr>
          <w:rFonts w:ascii="Times New Roman" w:hAnsi="Times New Roman" w:cs="Times New Roman"/>
          <w:color w:val="000000"/>
          <w:sz w:val="24"/>
          <w:szCs w:val="24"/>
        </w:rPr>
        <w:t xml:space="preserve"> to </w:t>
      </w:r>
      <w:proofErr w:type="spellStart"/>
      <w:r>
        <w:rPr>
          <w:rFonts w:ascii="Times New Roman" w:hAnsi="Times New Roman" w:cs="Times New Roman"/>
          <w:color w:val="000000"/>
          <w:sz w:val="24"/>
          <w:szCs w:val="24"/>
        </w:rPr>
        <w:t>nothing</w:t>
      </w:r>
      <w:proofErr w:type="spellEnd"/>
      <w:r>
        <w:rPr>
          <w:rFonts w:ascii="Times New Roman" w:hAnsi="Times New Roman" w:cs="Times New Roman"/>
          <w:color w:val="000000"/>
          <w:sz w:val="24"/>
          <w:szCs w:val="24"/>
        </w:rPr>
        <w:t xml:space="preserve"> in life. </w:t>
      </w:r>
      <w:r>
        <w:rPr>
          <w:rFonts w:ascii="Times New Roman" w:hAnsi="Times New Roman" w:cs="Times New Roman"/>
          <w:color w:val="000000"/>
          <w:sz w:val="24"/>
          <w:szCs w:val="24"/>
          <w:lang w:val="en-US"/>
        </w:rPr>
        <w:t>It is the loss of life that counts. It is that frightful death. »</w:t>
      </w:r>
    </w:p>
    <w:p w14:paraId="1F85F3B7" w14:textId="77777777" w:rsidR="00137F81" w:rsidRDefault="00137F81" w:rsidP="004377D9">
      <w:pPr>
        <w:spacing w:line="360" w:lineRule="auto"/>
        <w:jc w:val="both"/>
        <w:rPr>
          <w:rFonts w:ascii="Times New Roman" w:hAnsi="Times New Roman" w:cs="Times New Roman"/>
          <w:color w:val="000000"/>
          <w:sz w:val="24"/>
          <w:szCs w:val="24"/>
          <w:lang w:val="en-US"/>
        </w:rPr>
      </w:pPr>
    </w:p>
    <w:p w14:paraId="668974B8" w14:textId="5A292B3D" w:rsidR="00C62380" w:rsidRPr="004377D9" w:rsidRDefault="00137F81" w:rsidP="004377D9">
      <w:p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color w:val="000000"/>
          <w:kern w:val="0"/>
          <w:sz w:val="24"/>
          <w:szCs w:val="24"/>
          <w14:ligatures w14:val="none"/>
        </w:rPr>
        <w:t xml:space="preserve">Finalement, J. P. Morgan a obtenu son influence par son père et par ses nombreuses compétences dans le monde des finances, de la banque et des investissements. De plus, il a facilité la fusion de multiples industries américaines dans le secteur des chemins de fer, de l’acier et de diverses autres. Ses efforts durant la Panique Bancaire de 1907 ont porté ses fruits en le rendant plus influent. Ses innombrables entreprises l’ont aussi poussé vers le haut. Par exemple, </w:t>
      </w:r>
      <w:r>
        <w:rPr>
          <w:rFonts w:ascii="Times New Roman" w:hAnsi="Times New Roman" w:cs="Times New Roman"/>
          <w:color w:val="202122"/>
          <w:kern w:val="0"/>
          <w:sz w:val="24"/>
          <w:szCs w:val="24"/>
          <w:shd w:val="clear" w:color="auto" w:fill="FFFFFF"/>
          <w14:ligatures w14:val="none"/>
        </w:rPr>
        <w:t>sa firme J. P. Morgan and Company</w:t>
      </w:r>
      <w:r>
        <w:rPr>
          <w:rFonts w:ascii="Times New Roman" w:hAnsi="Times New Roman" w:cs="Times New Roman"/>
          <w:kern w:val="0"/>
          <w:sz w:val="24"/>
          <w:szCs w:val="24"/>
          <w14:ligatures w14:val="none"/>
        </w:rPr>
        <w:t xml:space="preserve"> étant l’une des premières entreprises milliardaires du monde, la General Electric, </w:t>
      </w:r>
      <w:r>
        <w:rPr>
          <w:rFonts w:ascii="Times New Roman" w:hAnsi="Times New Roman" w:cs="Times New Roman"/>
          <w:color w:val="202122"/>
          <w:kern w:val="0"/>
          <w:sz w:val="24"/>
          <w:szCs w:val="24"/>
          <w:shd w:val="clear" w:color="auto" w:fill="FFFFFF"/>
          <w14:ligatures w14:val="none"/>
        </w:rPr>
        <w:t>United States Steel Corporation et l'International</w:t>
      </w:r>
      <w:r>
        <w:rPr>
          <w:rFonts w:ascii="Times New Roman" w:hAnsi="Times New Roman" w:cs="Times New Roman"/>
          <w:kern w:val="0"/>
          <w:sz w:val="24"/>
          <w:szCs w:val="24"/>
          <w:shd w:val="clear" w:color="auto" w:fill="FFFFFF"/>
          <w14:ligatures w14:val="none"/>
        </w:rPr>
        <w:t xml:space="preserve"> Mercantile Marine Co. </w:t>
      </w:r>
      <w:r w:rsidR="00F60C64" w:rsidRPr="00655334">
        <w:rPr>
          <w:rFonts w:ascii="Times New Roman" w:hAnsi="Times New Roman" w:cs="Times New Roman"/>
          <w:sz w:val="24"/>
          <w:szCs w:val="24"/>
        </w:rPr>
        <w:br w:type="page"/>
      </w:r>
    </w:p>
    <w:p w14:paraId="5F96D4E1" w14:textId="12D9459B" w:rsidR="002E29E3" w:rsidRPr="005524B4" w:rsidRDefault="00000000" w:rsidP="005E2E69">
      <w:pPr>
        <w:spacing w:line="360" w:lineRule="auto"/>
        <w:jc w:val="both"/>
        <w:rPr>
          <w:rFonts w:ascii="Times New Roman" w:hAnsi="Times New Roman" w:cs="Times New Roman"/>
          <w:sz w:val="24"/>
          <w:szCs w:val="24"/>
        </w:rPr>
      </w:pPr>
      <w:hyperlink r:id="rId8" w:history="1">
        <w:r w:rsidR="00DC7D4B" w:rsidRPr="005524B4">
          <w:rPr>
            <w:rStyle w:val="Lienhypertexte"/>
            <w:rFonts w:ascii="Times New Roman" w:hAnsi="Times New Roman" w:cs="Times New Roman"/>
            <w:sz w:val="24"/>
            <w:szCs w:val="24"/>
          </w:rPr>
          <w:t>https://fr.wikipedia.org/wiki/John_Pierpont_Morgan</w:t>
        </w:r>
      </w:hyperlink>
      <w:r w:rsidR="00DC7D4B" w:rsidRPr="005524B4">
        <w:rPr>
          <w:rFonts w:ascii="Times New Roman" w:hAnsi="Times New Roman" w:cs="Times New Roman"/>
          <w:sz w:val="24"/>
          <w:szCs w:val="24"/>
        </w:rPr>
        <w:t xml:space="preserve"> </w:t>
      </w:r>
    </w:p>
    <w:p w14:paraId="603660E0" w14:textId="72210D1D" w:rsidR="009B3C39" w:rsidRPr="005524B4" w:rsidRDefault="00000000" w:rsidP="005E2E69">
      <w:pPr>
        <w:spacing w:line="360" w:lineRule="auto"/>
        <w:jc w:val="both"/>
        <w:rPr>
          <w:rFonts w:ascii="Times New Roman" w:hAnsi="Times New Roman" w:cs="Times New Roman"/>
          <w:sz w:val="24"/>
          <w:szCs w:val="24"/>
        </w:rPr>
      </w:pPr>
      <w:hyperlink r:id="rId9" w:history="1">
        <w:r w:rsidR="000528A4" w:rsidRPr="005524B4">
          <w:rPr>
            <w:rStyle w:val="Lienhypertexte"/>
            <w:rFonts w:ascii="Times New Roman" w:hAnsi="Times New Roman" w:cs="Times New Roman"/>
            <w:sz w:val="24"/>
            <w:szCs w:val="24"/>
          </w:rPr>
          <w:t>https://www.investopedia.com/articles/economics/08/jp-morgan-kingpin-wall-street.asp</w:t>
        </w:r>
      </w:hyperlink>
      <w:r w:rsidR="000528A4" w:rsidRPr="005524B4">
        <w:rPr>
          <w:rFonts w:ascii="Times New Roman" w:hAnsi="Times New Roman" w:cs="Times New Roman"/>
          <w:sz w:val="24"/>
          <w:szCs w:val="24"/>
        </w:rPr>
        <w:t xml:space="preserve"> </w:t>
      </w:r>
    </w:p>
    <w:p w14:paraId="454CDA06" w14:textId="0943B0C8" w:rsidR="00336354" w:rsidRPr="005524B4" w:rsidRDefault="00000000" w:rsidP="005E2E69">
      <w:pPr>
        <w:spacing w:line="360" w:lineRule="auto"/>
        <w:jc w:val="both"/>
        <w:rPr>
          <w:rFonts w:ascii="Times New Roman" w:hAnsi="Times New Roman" w:cs="Times New Roman"/>
          <w:sz w:val="24"/>
          <w:szCs w:val="24"/>
        </w:rPr>
      </w:pPr>
      <w:hyperlink r:id="rId10" w:history="1">
        <w:r w:rsidR="00B5114C" w:rsidRPr="005524B4">
          <w:rPr>
            <w:rStyle w:val="Lienhypertexte"/>
            <w:rFonts w:ascii="Times New Roman" w:hAnsi="Times New Roman" w:cs="Times New Roman"/>
            <w:sz w:val="24"/>
            <w:szCs w:val="24"/>
          </w:rPr>
          <w:t>https://fr.wikipedia.org/wiki/Panique_bancaire_américaine_de_1907</w:t>
        </w:r>
      </w:hyperlink>
      <w:r w:rsidR="00B5114C" w:rsidRPr="005524B4">
        <w:rPr>
          <w:rFonts w:ascii="Times New Roman" w:hAnsi="Times New Roman" w:cs="Times New Roman"/>
          <w:sz w:val="24"/>
          <w:szCs w:val="24"/>
        </w:rPr>
        <w:t xml:space="preserve"> </w:t>
      </w:r>
    </w:p>
    <w:p w14:paraId="24B84A64" w14:textId="77777777" w:rsidR="00654462" w:rsidRDefault="00000000" w:rsidP="005E2E69">
      <w:pPr>
        <w:spacing w:line="360" w:lineRule="auto"/>
        <w:jc w:val="both"/>
        <w:rPr>
          <w:rFonts w:ascii="Times New Roman" w:hAnsi="Times New Roman" w:cs="Times New Roman"/>
          <w:sz w:val="24"/>
          <w:szCs w:val="24"/>
        </w:rPr>
      </w:pPr>
      <w:hyperlink r:id="rId11" w:history="1">
        <w:r w:rsidR="00630981" w:rsidRPr="005524B4">
          <w:rPr>
            <w:rStyle w:val="Lienhypertexte"/>
            <w:rFonts w:ascii="Times New Roman" w:hAnsi="Times New Roman" w:cs="Times New Roman"/>
            <w:sz w:val="24"/>
            <w:szCs w:val="24"/>
          </w:rPr>
          <w:t>https://www.jpmorganchase.com/about/our-history</w:t>
        </w:r>
      </w:hyperlink>
      <w:r w:rsidR="00630981" w:rsidRPr="005524B4">
        <w:rPr>
          <w:rFonts w:ascii="Times New Roman" w:hAnsi="Times New Roman" w:cs="Times New Roman"/>
          <w:sz w:val="24"/>
          <w:szCs w:val="24"/>
        </w:rPr>
        <w:t xml:space="preserve"> </w:t>
      </w:r>
    </w:p>
    <w:p w14:paraId="75EEEA94" w14:textId="7510E89A" w:rsidR="00630981" w:rsidRPr="005524B4" w:rsidRDefault="00000000" w:rsidP="005E2E69">
      <w:pPr>
        <w:spacing w:line="360" w:lineRule="auto"/>
        <w:jc w:val="both"/>
        <w:rPr>
          <w:rFonts w:ascii="Times New Roman" w:hAnsi="Times New Roman" w:cs="Times New Roman"/>
          <w:sz w:val="24"/>
          <w:szCs w:val="24"/>
        </w:rPr>
      </w:pPr>
      <w:hyperlink r:id="rId12" w:history="1">
        <w:r w:rsidR="00297417" w:rsidRPr="005A09F2">
          <w:rPr>
            <w:rStyle w:val="Lienhypertexte"/>
            <w:rFonts w:ascii="Times New Roman" w:hAnsi="Times New Roman" w:cs="Times New Roman"/>
            <w:sz w:val="24"/>
            <w:szCs w:val="24"/>
          </w:rPr>
          <w:t>https://www.smithsonianmag.com/history/seven-famous-people-who-missed-the-titanic-101902418/</w:t>
        </w:r>
      </w:hyperlink>
      <w:r w:rsidR="00297417">
        <w:rPr>
          <w:rFonts w:ascii="Times New Roman" w:hAnsi="Times New Roman" w:cs="Times New Roman"/>
          <w:sz w:val="24"/>
          <w:szCs w:val="24"/>
        </w:rPr>
        <w:t xml:space="preserve"> </w:t>
      </w:r>
    </w:p>
    <w:p w14:paraId="214CB658" w14:textId="72F663E6" w:rsidR="0029285C" w:rsidRDefault="00000000">
      <w:pPr>
        <w:spacing w:line="360" w:lineRule="auto"/>
        <w:jc w:val="both"/>
        <w:rPr>
          <w:rFonts w:ascii="Times New Roman" w:hAnsi="Times New Roman" w:cs="Times New Roman"/>
          <w:sz w:val="24"/>
          <w:szCs w:val="24"/>
        </w:rPr>
      </w:pPr>
      <w:hyperlink r:id="rId13" w:history="1">
        <w:r w:rsidR="00654462" w:rsidRPr="005A09F2">
          <w:rPr>
            <w:rStyle w:val="Lienhypertexte"/>
            <w:rFonts w:ascii="Times New Roman" w:hAnsi="Times New Roman" w:cs="Times New Roman"/>
            <w:sz w:val="24"/>
            <w:szCs w:val="24"/>
          </w:rPr>
          <w:t>https://en.wikipedia.org/wiki/Titanic</w:t>
        </w:r>
      </w:hyperlink>
      <w:r w:rsidR="00654462">
        <w:rPr>
          <w:rFonts w:ascii="Times New Roman" w:hAnsi="Times New Roman" w:cs="Times New Roman"/>
          <w:sz w:val="24"/>
          <w:szCs w:val="24"/>
        </w:rPr>
        <w:t xml:space="preserve"> </w:t>
      </w:r>
    </w:p>
    <w:p w14:paraId="54915299" w14:textId="23AA700B" w:rsidR="00AA32F6" w:rsidRPr="005524B4" w:rsidRDefault="00AA32F6">
      <w:pPr>
        <w:spacing w:line="360" w:lineRule="auto"/>
        <w:jc w:val="both"/>
        <w:rPr>
          <w:rFonts w:ascii="Times New Roman" w:hAnsi="Times New Roman" w:cs="Times New Roman"/>
          <w:sz w:val="24"/>
          <w:szCs w:val="24"/>
        </w:rPr>
      </w:pPr>
      <w:hyperlink r:id="rId14" w:history="1">
        <w:r w:rsidRPr="00194853">
          <w:rPr>
            <w:rStyle w:val="Lienhypertexte"/>
            <w:rFonts w:ascii="Times New Roman" w:hAnsi="Times New Roman" w:cs="Times New Roman"/>
            <w:sz w:val="24"/>
            <w:szCs w:val="24"/>
          </w:rPr>
          <w:t>https://en.wikipedia.org/wiki/White_Star_Line</w:t>
        </w:r>
      </w:hyperlink>
      <w:r>
        <w:rPr>
          <w:rFonts w:ascii="Times New Roman" w:hAnsi="Times New Roman" w:cs="Times New Roman"/>
          <w:sz w:val="24"/>
          <w:szCs w:val="24"/>
        </w:rPr>
        <w:t xml:space="preserve"> </w:t>
      </w:r>
    </w:p>
    <w:sectPr w:rsidR="00AA32F6" w:rsidRPr="005524B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D1"/>
    <w:rsid w:val="00000B55"/>
    <w:rsid w:val="0000534F"/>
    <w:rsid w:val="0001257F"/>
    <w:rsid w:val="00040C34"/>
    <w:rsid w:val="00041D94"/>
    <w:rsid w:val="000460C7"/>
    <w:rsid w:val="0004761B"/>
    <w:rsid w:val="0004764C"/>
    <w:rsid w:val="00052319"/>
    <w:rsid w:val="000528A4"/>
    <w:rsid w:val="00057ED8"/>
    <w:rsid w:val="00061177"/>
    <w:rsid w:val="00062063"/>
    <w:rsid w:val="000723BB"/>
    <w:rsid w:val="000723DB"/>
    <w:rsid w:val="00075007"/>
    <w:rsid w:val="000765D5"/>
    <w:rsid w:val="000776AA"/>
    <w:rsid w:val="000813B8"/>
    <w:rsid w:val="00083477"/>
    <w:rsid w:val="000834E3"/>
    <w:rsid w:val="00096031"/>
    <w:rsid w:val="000A03C7"/>
    <w:rsid w:val="000A774D"/>
    <w:rsid w:val="000B2696"/>
    <w:rsid w:val="000C2EB5"/>
    <w:rsid w:val="000C7102"/>
    <w:rsid w:val="000F496F"/>
    <w:rsid w:val="000F6D92"/>
    <w:rsid w:val="00103FFF"/>
    <w:rsid w:val="001102AE"/>
    <w:rsid w:val="00112A47"/>
    <w:rsid w:val="00115C5E"/>
    <w:rsid w:val="00134FC2"/>
    <w:rsid w:val="00137F81"/>
    <w:rsid w:val="0014130F"/>
    <w:rsid w:val="00145EC4"/>
    <w:rsid w:val="00154CD3"/>
    <w:rsid w:val="00156B04"/>
    <w:rsid w:val="0016125C"/>
    <w:rsid w:val="00162322"/>
    <w:rsid w:val="0016647A"/>
    <w:rsid w:val="00173258"/>
    <w:rsid w:val="00180C60"/>
    <w:rsid w:val="00180CA0"/>
    <w:rsid w:val="00185D58"/>
    <w:rsid w:val="001A2339"/>
    <w:rsid w:val="001B36D9"/>
    <w:rsid w:val="001C7E9D"/>
    <w:rsid w:val="001D04FB"/>
    <w:rsid w:val="001D54AB"/>
    <w:rsid w:val="001D7E49"/>
    <w:rsid w:val="001E11D2"/>
    <w:rsid w:val="001F4B94"/>
    <w:rsid w:val="001F72E6"/>
    <w:rsid w:val="00200CCA"/>
    <w:rsid w:val="00213045"/>
    <w:rsid w:val="002208E0"/>
    <w:rsid w:val="00226BF6"/>
    <w:rsid w:val="00246194"/>
    <w:rsid w:val="00271B59"/>
    <w:rsid w:val="00284D29"/>
    <w:rsid w:val="00290C0E"/>
    <w:rsid w:val="0029285C"/>
    <w:rsid w:val="00293498"/>
    <w:rsid w:val="00293D1D"/>
    <w:rsid w:val="00295416"/>
    <w:rsid w:val="00297417"/>
    <w:rsid w:val="002A3419"/>
    <w:rsid w:val="002B1A04"/>
    <w:rsid w:val="002B6134"/>
    <w:rsid w:val="002C593C"/>
    <w:rsid w:val="002D1560"/>
    <w:rsid w:val="002D43B6"/>
    <w:rsid w:val="002E29E3"/>
    <w:rsid w:val="002E6E45"/>
    <w:rsid w:val="003002C1"/>
    <w:rsid w:val="003027C5"/>
    <w:rsid w:val="003158F5"/>
    <w:rsid w:val="003220F2"/>
    <w:rsid w:val="00331446"/>
    <w:rsid w:val="00332647"/>
    <w:rsid w:val="0033407D"/>
    <w:rsid w:val="00336354"/>
    <w:rsid w:val="00336CA5"/>
    <w:rsid w:val="00336DC9"/>
    <w:rsid w:val="0033763D"/>
    <w:rsid w:val="00342F22"/>
    <w:rsid w:val="00354B7D"/>
    <w:rsid w:val="00355817"/>
    <w:rsid w:val="00357AA6"/>
    <w:rsid w:val="00361B1F"/>
    <w:rsid w:val="003740D7"/>
    <w:rsid w:val="00376A0D"/>
    <w:rsid w:val="003866CA"/>
    <w:rsid w:val="00392D51"/>
    <w:rsid w:val="003B1106"/>
    <w:rsid w:val="003B2AEE"/>
    <w:rsid w:val="003B2E00"/>
    <w:rsid w:val="003C4861"/>
    <w:rsid w:val="003D2F78"/>
    <w:rsid w:val="003E15B8"/>
    <w:rsid w:val="003E6D32"/>
    <w:rsid w:val="003F26D0"/>
    <w:rsid w:val="003F5C87"/>
    <w:rsid w:val="004010AB"/>
    <w:rsid w:val="00410BE9"/>
    <w:rsid w:val="00415578"/>
    <w:rsid w:val="00422386"/>
    <w:rsid w:val="00427032"/>
    <w:rsid w:val="0043669C"/>
    <w:rsid w:val="004377D9"/>
    <w:rsid w:val="00444643"/>
    <w:rsid w:val="00450973"/>
    <w:rsid w:val="00450E74"/>
    <w:rsid w:val="004632EC"/>
    <w:rsid w:val="00463327"/>
    <w:rsid w:val="00471767"/>
    <w:rsid w:val="004831DF"/>
    <w:rsid w:val="0048396A"/>
    <w:rsid w:val="00485685"/>
    <w:rsid w:val="0049374B"/>
    <w:rsid w:val="004A0A53"/>
    <w:rsid w:val="004A25C2"/>
    <w:rsid w:val="004B5AFF"/>
    <w:rsid w:val="004C4F6E"/>
    <w:rsid w:val="004C6486"/>
    <w:rsid w:val="004D4958"/>
    <w:rsid w:val="004E267E"/>
    <w:rsid w:val="004F492B"/>
    <w:rsid w:val="005001FC"/>
    <w:rsid w:val="0051561E"/>
    <w:rsid w:val="00515D3A"/>
    <w:rsid w:val="00520026"/>
    <w:rsid w:val="00524D33"/>
    <w:rsid w:val="00525886"/>
    <w:rsid w:val="00534A6D"/>
    <w:rsid w:val="00541333"/>
    <w:rsid w:val="005454A4"/>
    <w:rsid w:val="005524B4"/>
    <w:rsid w:val="005531FB"/>
    <w:rsid w:val="0056125D"/>
    <w:rsid w:val="00573CE2"/>
    <w:rsid w:val="0058623E"/>
    <w:rsid w:val="00587383"/>
    <w:rsid w:val="00590041"/>
    <w:rsid w:val="005A16F2"/>
    <w:rsid w:val="005B0EDD"/>
    <w:rsid w:val="005B1645"/>
    <w:rsid w:val="005B7387"/>
    <w:rsid w:val="005C1A30"/>
    <w:rsid w:val="005C688E"/>
    <w:rsid w:val="005D6801"/>
    <w:rsid w:val="005E2E69"/>
    <w:rsid w:val="00616EFB"/>
    <w:rsid w:val="0061795C"/>
    <w:rsid w:val="006201CE"/>
    <w:rsid w:val="00621BDC"/>
    <w:rsid w:val="006275F5"/>
    <w:rsid w:val="00630981"/>
    <w:rsid w:val="00640B1D"/>
    <w:rsid w:val="006530FA"/>
    <w:rsid w:val="0065355B"/>
    <w:rsid w:val="00654462"/>
    <w:rsid w:val="00655334"/>
    <w:rsid w:val="0066719A"/>
    <w:rsid w:val="00685421"/>
    <w:rsid w:val="00690582"/>
    <w:rsid w:val="00692278"/>
    <w:rsid w:val="00692A7B"/>
    <w:rsid w:val="006A310E"/>
    <w:rsid w:val="006A687F"/>
    <w:rsid w:val="006A7F71"/>
    <w:rsid w:val="006B05B0"/>
    <w:rsid w:val="006C1687"/>
    <w:rsid w:val="006C4B57"/>
    <w:rsid w:val="006D68D6"/>
    <w:rsid w:val="006E2176"/>
    <w:rsid w:val="006E7E35"/>
    <w:rsid w:val="007010AA"/>
    <w:rsid w:val="00707A34"/>
    <w:rsid w:val="00726B79"/>
    <w:rsid w:val="007730C5"/>
    <w:rsid w:val="00777D04"/>
    <w:rsid w:val="007A0BFF"/>
    <w:rsid w:val="007A632B"/>
    <w:rsid w:val="007B2944"/>
    <w:rsid w:val="007C72DF"/>
    <w:rsid w:val="007D6534"/>
    <w:rsid w:val="007E430C"/>
    <w:rsid w:val="007F2AD4"/>
    <w:rsid w:val="007F65C3"/>
    <w:rsid w:val="007F6A6A"/>
    <w:rsid w:val="008114B9"/>
    <w:rsid w:val="0083062F"/>
    <w:rsid w:val="00831EC7"/>
    <w:rsid w:val="00832144"/>
    <w:rsid w:val="008441D8"/>
    <w:rsid w:val="00850007"/>
    <w:rsid w:val="00852368"/>
    <w:rsid w:val="00853A24"/>
    <w:rsid w:val="008562AC"/>
    <w:rsid w:val="0086536A"/>
    <w:rsid w:val="008719A5"/>
    <w:rsid w:val="00876E55"/>
    <w:rsid w:val="00883909"/>
    <w:rsid w:val="0089319B"/>
    <w:rsid w:val="008A2F59"/>
    <w:rsid w:val="008A7426"/>
    <w:rsid w:val="008B1124"/>
    <w:rsid w:val="008B6871"/>
    <w:rsid w:val="008C0209"/>
    <w:rsid w:val="008E73F7"/>
    <w:rsid w:val="00906F06"/>
    <w:rsid w:val="00907772"/>
    <w:rsid w:val="0091365C"/>
    <w:rsid w:val="0093223A"/>
    <w:rsid w:val="00983F36"/>
    <w:rsid w:val="009845DE"/>
    <w:rsid w:val="009969D3"/>
    <w:rsid w:val="0099751E"/>
    <w:rsid w:val="0099775C"/>
    <w:rsid w:val="009B3C39"/>
    <w:rsid w:val="009C5EB1"/>
    <w:rsid w:val="009D6506"/>
    <w:rsid w:val="009F1616"/>
    <w:rsid w:val="00A00E15"/>
    <w:rsid w:val="00A11BDC"/>
    <w:rsid w:val="00A23F81"/>
    <w:rsid w:val="00A25872"/>
    <w:rsid w:val="00A267E8"/>
    <w:rsid w:val="00A26DB5"/>
    <w:rsid w:val="00A35ECD"/>
    <w:rsid w:val="00A36421"/>
    <w:rsid w:val="00A63608"/>
    <w:rsid w:val="00A639D1"/>
    <w:rsid w:val="00A713A3"/>
    <w:rsid w:val="00A801FE"/>
    <w:rsid w:val="00A83523"/>
    <w:rsid w:val="00AA0265"/>
    <w:rsid w:val="00AA32F6"/>
    <w:rsid w:val="00AB3145"/>
    <w:rsid w:val="00AC23F0"/>
    <w:rsid w:val="00AE553D"/>
    <w:rsid w:val="00AF2D71"/>
    <w:rsid w:val="00AF4296"/>
    <w:rsid w:val="00B042A2"/>
    <w:rsid w:val="00B07E97"/>
    <w:rsid w:val="00B178CC"/>
    <w:rsid w:val="00B2476C"/>
    <w:rsid w:val="00B4104F"/>
    <w:rsid w:val="00B42577"/>
    <w:rsid w:val="00B46E1F"/>
    <w:rsid w:val="00B5114C"/>
    <w:rsid w:val="00B61D91"/>
    <w:rsid w:val="00B65B14"/>
    <w:rsid w:val="00B73BBC"/>
    <w:rsid w:val="00B7612A"/>
    <w:rsid w:val="00BA17CC"/>
    <w:rsid w:val="00BB407C"/>
    <w:rsid w:val="00BB52FC"/>
    <w:rsid w:val="00BC73C7"/>
    <w:rsid w:val="00BD72FE"/>
    <w:rsid w:val="00BE100E"/>
    <w:rsid w:val="00BF2317"/>
    <w:rsid w:val="00C06EB8"/>
    <w:rsid w:val="00C15DAE"/>
    <w:rsid w:val="00C15EBF"/>
    <w:rsid w:val="00C16040"/>
    <w:rsid w:val="00C25D24"/>
    <w:rsid w:val="00C30CE7"/>
    <w:rsid w:val="00C331E1"/>
    <w:rsid w:val="00C36AA1"/>
    <w:rsid w:val="00C41883"/>
    <w:rsid w:val="00C53B68"/>
    <w:rsid w:val="00C54FC2"/>
    <w:rsid w:val="00C6146F"/>
    <w:rsid w:val="00C62380"/>
    <w:rsid w:val="00C64F94"/>
    <w:rsid w:val="00C71852"/>
    <w:rsid w:val="00C73F0A"/>
    <w:rsid w:val="00C77B71"/>
    <w:rsid w:val="00C8154B"/>
    <w:rsid w:val="00C8750E"/>
    <w:rsid w:val="00C94836"/>
    <w:rsid w:val="00CA59A4"/>
    <w:rsid w:val="00CB1350"/>
    <w:rsid w:val="00CD2F30"/>
    <w:rsid w:val="00CD648B"/>
    <w:rsid w:val="00D14F83"/>
    <w:rsid w:val="00D22E13"/>
    <w:rsid w:val="00D24C46"/>
    <w:rsid w:val="00D259A0"/>
    <w:rsid w:val="00D32E7F"/>
    <w:rsid w:val="00D35A13"/>
    <w:rsid w:val="00D36C99"/>
    <w:rsid w:val="00D372C7"/>
    <w:rsid w:val="00D375F0"/>
    <w:rsid w:val="00D4016B"/>
    <w:rsid w:val="00D43B4A"/>
    <w:rsid w:val="00D473AC"/>
    <w:rsid w:val="00D52027"/>
    <w:rsid w:val="00D56489"/>
    <w:rsid w:val="00D70F2E"/>
    <w:rsid w:val="00D767F2"/>
    <w:rsid w:val="00D76981"/>
    <w:rsid w:val="00D7799E"/>
    <w:rsid w:val="00D83CFD"/>
    <w:rsid w:val="00D951B7"/>
    <w:rsid w:val="00DB33C5"/>
    <w:rsid w:val="00DC7D4B"/>
    <w:rsid w:val="00DD3582"/>
    <w:rsid w:val="00DE5813"/>
    <w:rsid w:val="00E16CA3"/>
    <w:rsid w:val="00E2206E"/>
    <w:rsid w:val="00E30FF5"/>
    <w:rsid w:val="00E337A0"/>
    <w:rsid w:val="00E51B53"/>
    <w:rsid w:val="00E61A16"/>
    <w:rsid w:val="00E700A1"/>
    <w:rsid w:val="00E701D6"/>
    <w:rsid w:val="00E72871"/>
    <w:rsid w:val="00E7519C"/>
    <w:rsid w:val="00E87028"/>
    <w:rsid w:val="00E9420E"/>
    <w:rsid w:val="00E9722D"/>
    <w:rsid w:val="00EA5E69"/>
    <w:rsid w:val="00ED14AB"/>
    <w:rsid w:val="00ED1CBE"/>
    <w:rsid w:val="00ED6C81"/>
    <w:rsid w:val="00EF164B"/>
    <w:rsid w:val="00F16373"/>
    <w:rsid w:val="00F17785"/>
    <w:rsid w:val="00F21DD8"/>
    <w:rsid w:val="00F25645"/>
    <w:rsid w:val="00F40B2B"/>
    <w:rsid w:val="00F413D3"/>
    <w:rsid w:val="00F52177"/>
    <w:rsid w:val="00F54382"/>
    <w:rsid w:val="00F60C48"/>
    <w:rsid w:val="00F60C64"/>
    <w:rsid w:val="00F6396C"/>
    <w:rsid w:val="00F64B5E"/>
    <w:rsid w:val="00F64F14"/>
    <w:rsid w:val="00F82AFD"/>
    <w:rsid w:val="00F831BB"/>
    <w:rsid w:val="00F844A1"/>
    <w:rsid w:val="00F90923"/>
    <w:rsid w:val="00FB1C6B"/>
    <w:rsid w:val="00FB20D1"/>
    <w:rsid w:val="00FB3D87"/>
    <w:rsid w:val="00FB7939"/>
    <w:rsid w:val="00FC0BF1"/>
    <w:rsid w:val="00FC34F7"/>
    <w:rsid w:val="00FC4D3D"/>
    <w:rsid w:val="00FE2ABD"/>
    <w:rsid w:val="00FE2CD1"/>
    <w:rsid w:val="00FE4517"/>
    <w:rsid w:val="00FE7025"/>
    <w:rsid w:val="00FF4505"/>
    <w:rsid w:val="00FF641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BF3F"/>
  <w15:chartTrackingRefBased/>
  <w15:docId w15:val="{990E3443-533B-46DD-A3FC-B5DD2ED7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C7D4B"/>
    <w:rPr>
      <w:color w:val="0563C1" w:themeColor="hyperlink"/>
      <w:u w:val="single"/>
    </w:rPr>
  </w:style>
  <w:style w:type="character" w:styleId="Mentionnonrsolue">
    <w:name w:val="Unresolved Mention"/>
    <w:basedOn w:val="Policepardfaut"/>
    <w:uiPriority w:val="99"/>
    <w:semiHidden/>
    <w:unhideWhenUsed/>
    <w:rsid w:val="00DC7D4B"/>
    <w:rPr>
      <w:color w:val="605E5C"/>
      <w:shd w:val="clear" w:color="auto" w:fill="E1DFDD"/>
    </w:rPr>
  </w:style>
  <w:style w:type="character" w:styleId="Accentuation">
    <w:name w:val="Emphasis"/>
    <w:basedOn w:val="Policepardfaut"/>
    <w:uiPriority w:val="20"/>
    <w:qFormat/>
    <w:rsid w:val="00D564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237573">
      <w:bodyDiv w:val="1"/>
      <w:marLeft w:val="0"/>
      <w:marRight w:val="0"/>
      <w:marTop w:val="0"/>
      <w:marBottom w:val="0"/>
      <w:divBdr>
        <w:top w:val="none" w:sz="0" w:space="0" w:color="auto"/>
        <w:left w:val="none" w:sz="0" w:space="0" w:color="auto"/>
        <w:bottom w:val="none" w:sz="0" w:space="0" w:color="auto"/>
        <w:right w:val="none" w:sz="0" w:space="0" w:color="auto"/>
      </w:divBdr>
    </w:div>
    <w:div w:id="190529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John_Pierpont_Morgan" TargetMode="External"/><Relationship Id="rId13" Type="http://schemas.openxmlformats.org/officeDocument/2006/relationships/hyperlink" Target="https://en.wikipedia.org/wiki/Titani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mithsonianmag.com/history/seven-famous-people-who-missed-the-titanic-101902418/"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pmorganchase.com/about/our-history"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fr.wikipedia.org/wiki/Panique_bancaire_am&#233;ricaine_de_1907" TargetMode="External"/><Relationship Id="rId4" Type="http://schemas.openxmlformats.org/officeDocument/2006/relationships/customXml" Target="../customXml/item4.xml"/><Relationship Id="rId9" Type="http://schemas.openxmlformats.org/officeDocument/2006/relationships/hyperlink" Target="https://www.investopedia.com/articles/economics/08/jp-morgan-kingpin-wall-street.asp" TargetMode="External"/><Relationship Id="rId14" Type="http://schemas.openxmlformats.org/officeDocument/2006/relationships/hyperlink" Target="https://en.wikipedia.org/wiki/White_Star_Lin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d648082-56e9-4c4b-9fc9-5bd228275c4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BDE29DF3AD7F543B63872E9BBBC7EAE" ma:contentTypeVersion="15" ma:contentTypeDescription="Crée un document." ma:contentTypeScope="" ma:versionID="cf0fe3d9cc800f4261a2a05d231e5b16">
  <xsd:schema xmlns:xsd="http://www.w3.org/2001/XMLSchema" xmlns:xs="http://www.w3.org/2001/XMLSchema" xmlns:p="http://schemas.microsoft.com/office/2006/metadata/properties" xmlns:ns3="dd648082-56e9-4c4b-9fc9-5bd228275c4e" xmlns:ns4="a67f9782-25c0-4514-88d0-2027e7c74d99" targetNamespace="http://schemas.microsoft.com/office/2006/metadata/properties" ma:root="true" ma:fieldsID="0fbbb4725dd1c9cd4796f87fa28a11bf" ns3:_="" ns4:_="">
    <xsd:import namespace="dd648082-56e9-4c4b-9fc9-5bd228275c4e"/>
    <xsd:import namespace="a67f9782-25c0-4514-88d0-2027e7c74d9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48082-56e9-4c4b-9fc9-5bd228275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f9782-25c0-4514-88d0-2027e7c74d9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1932C-1EBB-4FA5-98BD-C4AD377C2D7B}">
  <ds:schemaRefs>
    <ds:schemaRef ds:uri="http://schemas.microsoft.com/sharepoint/v3/contenttype/forms"/>
  </ds:schemaRefs>
</ds:datastoreItem>
</file>

<file path=customXml/itemProps2.xml><?xml version="1.0" encoding="utf-8"?>
<ds:datastoreItem xmlns:ds="http://schemas.openxmlformats.org/officeDocument/2006/customXml" ds:itemID="{EC07A779-0683-4B4F-A2DA-3C34BDE9800C}">
  <ds:schemaRefs>
    <ds:schemaRef ds:uri="http://schemas.microsoft.com/office/2006/metadata/properties"/>
    <ds:schemaRef ds:uri="http://schemas.microsoft.com/office/infopath/2007/PartnerControls"/>
    <ds:schemaRef ds:uri="dd648082-56e9-4c4b-9fc9-5bd228275c4e"/>
  </ds:schemaRefs>
</ds:datastoreItem>
</file>

<file path=customXml/itemProps3.xml><?xml version="1.0" encoding="utf-8"?>
<ds:datastoreItem xmlns:ds="http://schemas.openxmlformats.org/officeDocument/2006/customXml" ds:itemID="{DDB37F2C-FCB7-4622-8191-9E521102CDB1}">
  <ds:schemaRefs>
    <ds:schemaRef ds:uri="http://schemas.openxmlformats.org/officeDocument/2006/bibliography"/>
  </ds:schemaRefs>
</ds:datastoreItem>
</file>

<file path=customXml/itemProps4.xml><?xml version="1.0" encoding="utf-8"?>
<ds:datastoreItem xmlns:ds="http://schemas.openxmlformats.org/officeDocument/2006/customXml" ds:itemID="{9F9CF9CA-7DB9-45C7-ABCB-8FF60E82A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48082-56e9-4c4b-9fc9-5bd228275c4e"/>
    <ds:schemaRef ds:uri="a67f9782-25c0-4514-88d0-2027e7c74d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4</Pages>
  <Words>1136</Words>
  <Characters>6251</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Hudon Jérôme</dc:creator>
  <cp:keywords/>
  <dc:description/>
  <cp:lastModifiedBy>Hudon Jérôme</cp:lastModifiedBy>
  <cp:revision>361</cp:revision>
  <dcterms:created xsi:type="dcterms:W3CDTF">2024-01-03T17:11:00Z</dcterms:created>
  <dcterms:modified xsi:type="dcterms:W3CDTF">2024-01-15T05:23:00Z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0x0101003BDE29DF3AD7F543B63872E9BBBC7EAE</vt:lpwstr>
  </property>
</Properties>
</file>