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6CDA9" w14:textId="50AA1A21" w:rsidR="00121855" w:rsidRPr="009E15AD" w:rsidRDefault="00121855" w:rsidP="00121855">
      <w:pPr>
        <w:pStyle w:val="a6"/>
        <w:numPr>
          <w:ilvl w:val="0"/>
          <w:numId w:val="1"/>
        </w:numPr>
      </w:pPr>
      <w:proofErr w:type="spellStart"/>
      <w:r w:rsidRPr="009E15AD">
        <w:rPr>
          <w:rFonts w:hint="eastAsia"/>
          <w:b/>
          <w:bCs/>
          <w:sz w:val="26"/>
          <w:szCs w:val="26"/>
        </w:rPr>
        <w:t>자카드</w:t>
      </w:r>
      <w:proofErr w:type="spellEnd"/>
      <w:r w:rsidRPr="009E15AD">
        <w:rPr>
          <w:rFonts w:hint="eastAsia"/>
          <w:b/>
          <w:bCs/>
          <w:sz w:val="26"/>
          <w:szCs w:val="26"/>
        </w:rPr>
        <w:t xml:space="preserve"> 유사도 (skill 집합끼리 비교)</w:t>
      </w:r>
      <w:r w:rsidRPr="009E15AD">
        <w:rPr>
          <w:b/>
          <w:bCs/>
          <w:sz w:val="26"/>
          <w:szCs w:val="26"/>
        </w:rPr>
        <w:br/>
      </w:r>
      <w:proofErr w:type="spellStart"/>
      <w:r w:rsidRPr="003650F5">
        <w:t>자카드</w:t>
      </w:r>
      <w:proofErr w:type="spellEnd"/>
      <w:r w:rsidRPr="003650F5">
        <w:t xml:space="preserve"> 유사도(Jaccard Similarity)는 </w:t>
      </w:r>
      <w:r>
        <w:t>2</w:t>
      </w:r>
      <w:r w:rsidRPr="003650F5">
        <w:t>개의 집합 </w:t>
      </w:r>
      <w:r w:rsidRPr="003650F5">
        <w:rPr>
          <w:rFonts w:ascii="Cambria Math" w:hAnsi="Cambria Math" w:cs="Cambria Math"/>
        </w:rPr>
        <w:t>𝐴</w:t>
      </w:r>
      <w:r w:rsidRPr="003650F5">
        <w:t>, </w:t>
      </w:r>
      <w:r w:rsidRPr="003650F5">
        <w:rPr>
          <w:rFonts w:ascii="Cambria Math" w:hAnsi="Cambria Math" w:cs="Cambria Math"/>
        </w:rPr>
        <w:t>𝐵</w:t>
      </w:r>
      <w:r w:rsidRPr="003650F5">
        <w:t xml:space="preserve">가 있을 때 두 집합의 합집합 중 교집합의 비율입니다. 즉, 두 집합이 완전히 같을 때는 </w:t>
      </w:r>
      <w:proofErr w:type="spellStart"/>
      <w:r w:rsidRPr="003650F5">
        <w:t>자카드</w:t>
      </w:r>
      <w:proofErr w:type="spellEnd"/>
      <w:r w:rsidRPr="003650F5">
        <w:t xml:space="preserve"> 유사도가 </w:t>
      </w:r>
      <w:r>
        <w:t>1</w:t>
      </w:r>
      <w:r w:rsidRPr="003650F5">
        <w:t>이며, 두 집합에 교집합이 없는 경우는 </w:t>
      </w:r>
      <w:r>
        <w:t>0</w:t>
      </w:r>
      <w:r w:rsidRPr="003650F5">
        <w:t>입니다.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br/>
      </w:r>
      <m:oMathPara>
        <m:oMath>
          <m:r>
            <w:rPr>
              <w:rFonts w:ascii="Cambria Math" w:hAnsi="Cambria Math"/>
            </w:rPr>
            <m:t>J(A,B)=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|A∩B|</m:t>
              </m:r>
            </m:num>
            <m:den>
              <m:r>
                <w:rPr>
                  <w:rFonts w:ascii="Cambria Math" w:hAnsi="Cambria Math"/>
                </w:rPr>
                <m:t>|A∪B|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|A∩B|</m:t>
              </m:r>
            </m:num>
            <m:den>
              <m:r>
                <w:rPr>
                  <w:rFonts w:ascii="Cambria Math" w:hAnsi="Cambria Math"/>
                </w:rPr>
                <m:t>|A|+|B|-|A∩B|</m:t>
              </m:r>
            </m:den>
          </m:f>
        </m:oMath>
      </m:oMathPara>
    </w:p>
    <w:p w14:paraId="5B6E196A" w14:textId="77777777" w:rsidR="009E15AD" w:rsidRDefault="009E15AD" w:rsidP="009E15AD">
      <w:pPr>
        <w:pStyle w:val="a6"/>
        <w:ind w:left="800"/>
        <w:rPr>
          <w:rFonts w:hint="eastAsia"/>
        </w:rPr>
      </w:pPr>
    </w:p>
    <w:p w14:paraId="114568E5" w14:textId="03731952" w:rsidR="00121855" w:rsidRDefault="003650F5" w:rsidP="00121855">
      <w:pPr>
        <w:pStyle w:val="a6"/>
        <w:numPr>
          <w:ilvl w:val="0"/>
          <w:numId w:val="1"/>
        </w:numPr>
      </w:pPr>
      <w:r w:rsidRPr="009E15AD">
        <w:rPr>
          <w:rFonts w:hint="eastAsia"/>
          <w:b/>
          <w:bCs/>
          <w:sz w:val="26"/>
          <w:szCs w:val="26"/>
        </w:rPr>
        <w:t>Adamic-Adar 유사도</w:t>
      </w:r>
      <w:r w:rsidR="009E15AD" w:rsidRPr="009E15AD">
        <w:rPr>
          <w:rFonts w:hint="eastAsia"/>
          <w:b/>
          <w:bCs/>
          <w:sz w:val="26"/>
          <w:szCs w:val="26"/>
        </w:rPr>
        <w:t>(부적합)</w:t>
      </w:r>
      <w:r w:rsidRPr="009E15AD">
        <w:rPr>
          <w:b/>
          <w:bCs/>
          <w:sz w:val="26"/>
          <w:szCs w:val="26"/>
        </w:rPr>
        <w:br/>
      </w:r>
      <w:r w:rsidRPr="009E15AD">
        <w:t>두 노드가 공통으로 연결된 이웃을 많이 가질수록 이들 노드 간의 유사성이 높다고 판단합니다.</w:t>
      </w:r>
      <w:r w:rsidRPr="009E15AD">
        <w:br/>
      </w:r>
      <w:r>
        <w:rPr>
          <w:rFonts w:hint="eastAsia"/>
        </w:rPr>
        <w:t>1. 두 노드 u와 v사이의 공통 이웃을 찾습니다.</w:t>
      </w:r>
      <w:r>
        <w:br/>
      </w:r>
      <w:r>
        <w:rPr>
          <w:rFonts w:hint="eastAsia"/>
        </w:rPr>
        <w:t xml:space="preserve">2. 각 공통 이웃 노드의 </w:t>
      </w:r>
      <w:r w:rsidRPr="009E15AD">
        <w:rPr>
          <w:rFonts w:hint="eastAsia"/>
          <w:highlight w:val="yellow"/>
        </w:rPr>
        <w:t>degree(연결될 노드 수)</w:t>
      </w:r>
      <w:r>
        <w:rPr>
          <w:rFonts w:hint="eastAsia"/>
        </w:rPr>
        <w:t xml:space="preserve">의 역수를 계산합니다. 이 값은 노드의 중요도를 반영하는 척도로 사용합니다. </w:t>
      </w:r>
      <w:r w:rsidRPr="009E15AD">
        <w:rPr>
          <w:rFonts w:hint="eastAsia"/>
          <w:highlight w:val="yellow"/>
        </w:rPr>
        <w:t>Degree가 높은 노드일수록 해당 노드의 역수 값은 작아집니다. (ex. 연예인처럼 많은 사람들이 알고 있는 즉, degree가 큰 노드의 중요도를 낮추기 위해서)</w:t>
      </w:r>
      <w:r>
        <w:br/>
      </w:r>
      <w:r>
        <w:rPr>
          <w:rFonts w:hint="eastAsia"/>
        </w:rPr>
        <w:t>3. 이 역수 값을 모든 공통 이웃에 대해 합산합니다.</w:t>
      </w:r>
      <w:r>
        <w:br/>
      </w:r>
      <w:r>
        <w:rPr>
          <w:rStyle w:val="mord"/>
          <w:rFonts w:ascii="Times New Roman" w:hAnsi="Times New Roman" w:cs="Times New Roman"/>
          <w:color w:val="ECECEC"/>
          <w:sz w:val="29"/>
          <w:szCs w:val="29"/>
          <w:shd w:val="clear" w:color="auto" w:fill="212121"/>
        </w:rPr>
        <w:t>Adamic-Adar </w:t>
      </w:r>
      <w:r>
        <w:rPr>
          <w:rStyle w:val="mord"/>
          <w:rFonts w:ascii="Times New Roman" w:hAnsi="Times New Roman" w:cs="Times New Roman"/>
          <w:color w:val="ECECEC"/>
          <w:sz w:val="29"/>
          <w:szCs w:val="29"/>
          <w:shd w:val="clear" w:color="auto" w:fill="212121"/>
        </w:rPr>
        <w:t>유사도</w:t>
      </w:r>
      <w:r>
        <w:rPr>
          <w:rStyle w:val="mopen"/>
          <w:rFonts w:ascii="Times New Roman" w:hAnsi="Times New Roman" w:cs="Times New Roman"/>
          <w:color w:val="ECECEC"/>
          <w:sz w:val="29"/>
          <w:szCs w:val="29"/>
          <w:shd w:val="clear" w:color="auto" w:fill="212121"/>
        </w:rPr>
        <w:t>(</w:t>
      </w:r>
      <w:proofErr w:type="gramStart"/>
      <w:r>
        <w:rPr>
          <w:rStyle w:val="mord"/>
          <w:rFonts w:ascii="KaTeX_Math" w:hAnsi="KaTeX_Math" w:cs="Times New Roman"/>
          <w:i/>
          <w:iCs/>
          <w:color w:val="ECECEC"/>
          <w:sz w:val="29"/>
          <w:szCs w:val="29"/>
          <w:shd w:val="clear" w:color="auto" w:fill="212121"/>
        </w:rPr>
        <w:t>A</w:t>
      </w:r>
      <w:r>
        <w:rPr>
          <w:rStyle w:val="mpunct"/>
          <w:rFonts w:ascii="Times New Roman" w:hAnsi="Times New Roman" w:cs="Times New Roman"/>
          <w:color w:val="ECECEC"/>
          <w:sz w:val="29"/>
          <w:szCs w:val="29"/>
          <w:shd w:val="clear" w:color="auto" w:fill="212121"/>
        </w:rPr>
        <w:t>,</w:t>
      </w:r>
      <w:r>
        <w:rPr>
          <w:rStyle w:val="mord"/>
          <w:rFonts w:ascii="KaTeX_Math" w:hAnsi="KaTeX_Math" w:cs="Times New Roman"/>
          <w:i/>
          <w:iCs/>
          <w:color w:val="ECECEC"/>
          <w:sz w:val="29"/>
          <w:szCs w:val="29"/>
          <w:shd w:val="clear" w:color="auto" w:fill="212121"/>
        </w:rPr>
        <w:t>B</w:t>
      </w:r>
      <w:proofErr w:type="gramEnd"/>
      <w:r>
        <w:rPr>
          <w:rStyle w:val="mclose"/>
          <w:rFonts w:ascii="Times New Roman" w:hAnsi="Times New Roman" w:cs="Times New Roman"/>
          <w:color w:val="ECECEC"/>
          <w:sz w:val="29"/>
          <w:szCs w:val="29"/>
          <w:shd w:val="clear" w:color="auto" w:fill="212121"/>
        </w:rPr>
        <w:t>)</w:t>
      </w:r>
      <w:r>
        <w:rPr>
          <w:rStyle w:val="mrel"/>
          <w:rFonts w:ascii="Times New Roman" w:hAnsi="Times New Roman" w:cs="Times New Roman"/>
          <w:color w:val="ECECEC"/>
          <w:sz w:val="29"/>
          <w:szCs w:val="29"/>
          <w:shd w:val="clear" w:color="auto" w:fill="212121"/>
        </w:rPr>
        <w:t>=</w:t>
      </w:r>
      <w:r>
        <w:rPr>
          <w:rStyle w:val="mop"/>
          <w:rFonts w:ascii="KaTeX_Size1" w:hAnsi="KaTeX_Size1" w:cs="Times New Roman"/>
          <w:color w:val="ECECEC"/>
          <w:sz w:val="29"/>
          <w:szCs w:val="29"/>
          <w:shd w:val="clear" w:color="auto" w:fill="212121"/>
        </w:rPr>
        <w:t>∑</w:t>
      </w:r>
      <w:r>
        <w:rPr>
          <w:rStyle w:val="mord"/>
          <w:rFonts w:ascii="KaTeX_Math" w:hAnsi="KaTeX_Math" w:cs="Times New Roman"/>
          <w:i/>
          <w:iCs/>
          <w:color w:val="ECECEC"/>
          <w:sz w:val="20"/>
          <w:szCs w:val="20"/>
          <w:shd w:val="clear" w:color="auto" w:fill="212121"/>
        </w:rPr>
        <w:t>u</w:t>
      </w:r>
      <w:r>
        <w:rPr>
          <w:rStyle w:val="mrel"/>
          <w:rFonts w:ascii="맑은 고딕" w:eastAsia="맑은 고딕" w:hAnsi="맑은 고딕" w:cs="맑은 고딕" w:hint="eastAsia"/>
          <w:color w:val="ECECEC"/>
          <w:sz w:val="20"/>
          <w:szCs w:val="20"/>
          <w:shd w:val="clear" w:color="auto" w:fill="212121"/>
        </w:rPr>
        <w:t>∈</w:t>
      </w:r>
      <w:r>
        <w:rPr>
          <w:rStyle w:val="mord"/>
          <w:rFonts w:ascii="KaTeX_Math" w:hAnsi="KaTeX_Math" w:cs="Times New Roman"/>
          <w:i/>
          <w:iCs/>
          <w:color w:val="ECECEC"/>
          <w:sz w:val="20"/>
          <w:szCs w:val="20"/>
          <w:shd w:val="clear" w:color="auto" w:fill="212121"/>
        </w:rPr>
        <w:t>A</w:t>
      </w:r>
      <w:r>
        <w:rPr>
          <w:rStyle w:val="mbin"/>
          <w:rFonts w:ascii="Times New Roman" w:hAnsi="Times New Roman" w:cs="Times New Roman"/>
          <w:color w:val="ECECEC"/>
          <w:sz w:val="20"/>
          <w:szCs w:val="20"/>
          <w:shd w:val="clear" w:color="auto" w:fill="212121"/>
        </w:rPr>
        <w:t>∩</w:t>
      </w:r>
      <w:r>
        <w:rPr>
          <w:rStyle w:val="mord"/>
          <w:rFonts w:ascii="KaTeX_Math" w:hAnsi="KaTeX_Math" w:cs="Times New Roman"/>
          <w:i/>
          <w:iCs/>
          <w:color w:val="ECECEC"/>
          <w:sz w:val="20"/>
          <w:szCs w:val="20"/>
          <w:shd w:val="clear" w:color="auto" w:fill="212121"/>
        </w:rPr>
        <w:t>B</w:t>
      </w:r>
      <w:r>
        <w:rPr>
          <w:rStyle w:val="vlist-s"/>
          <w:rFonts w:ascii="Times New Roman" w:hAnsi="Times New Roman" w:cs="Times New Roman"/>
          <w:color w:val="ECECEC"/>
          <w:sz w:val="2"/>
          <w:szCs w:val="2"/>
          <w:shd w:val="clear" w:color="auto" w:fill="212121"/>
        </w:rPr>
        <w:t>​</w:t>
      </w:r>
      <w:proofErr w:type="spellStart"/>
      <w:r>
        <w:rPr>
          <w:rStyle w:val="mtight"/>
          <w:rFonts w:ascii="Times New Roman" w:hAnsi="Times New Roman" w:cs="Times New Roman"/>
          <w:color w:val="ECECEC"/>
          <w:sz w:val="20"/>
          <w:szCs w:val="20"/>
          <w:shd w:val="clear" w:color="auto" w:fill="212121"/>
        </w:rPr>
        <w:t>log</w:t>
      </w:r>
      <w:r>
        <w:rPr>
          <w:rStyle w:val="mord"/>
          <w:rFonts w:ascii="Cambria Math" w:hAnsi="Cambria Math" w:cs="Cambria Math"/>
          <w:color w:val="ECECEC"/>
          <w:sz w:val="20"/>
          <w:szCs w:val="20"/>
          <w:shd w:val="clear" w:color="auto" w:fill="212121"/>
        </w:rPr>
        <w:t>∣</w:t>
      </w:r>
      <w:r>
        <w:rPr>
          <w:rStyle w:val="mord"/>
          <w:rFonts w:ascii="Times New Roman" w:hAnsi="Times New Roman" w:cs="Times New Roman"/>
          <w:color w:val="ECECEC"/>
          <w:sz w:val="20"/>
          <w:szCs w:val="20"/>
          <w:shd w:val="clear" w:color="auto" w:fill="212121"/>
        </w:rPr>
        <w:t>Γ</w:t>
      </w:r>
      <w:proofErr w:type="spellEnd"/>
      <w:r>
        <w:rPr>
          <w:rStyle w:val="mopen"/>
          <w:rFonts w:ascii="Times New Roman" w:hAnsi="Times New Roman" w:cs="Times New Roman"/>
          <w:color w:val="ECECEC"/>
          <w:sz w:val="20"/>
          <w:szCs w:val="20"/>
          <w:shd w:val="clear" w:color="auto" w:fill="212121"/>
        </w:rPr>
        <w:t>(</w:t>
      </w:r>
      <w:r>
        <w:rPr>
          <w:rStyle w:val="mord"/>
          <w:rFonts w:ascii="KaTeX_Math" w:hAnsi="KaTeX_Math" w:cs="Times New Roman"/>
          <w:i/>
          <w:iCs/>
          <w:color w:val="ECECEC"/>
          <w:sz w:val="20"/>
          <w:szCs w:val="20"/>
          <w:shd w:val="clear" w:color="auto" w:fill="212121"/>
        </w:rPr>
        <w:t>u</w:t>
      </w:r>
      <w:r>
        <w:rPr>
          <w:rStyle w:val="mclose"/>
          <w:rFonts w:ascii="Times New Roman" w:hAnsi="Times New Roman" w:cs="Times New Roman"/>
          <w:color w:val="ECECEC"/>
          <w:sz w:val="20"/>
          <w:szCs w:val="20"/>
          <w:shd w:val="clear" w:color="auto" w:fill="212121"/>
        </w:rPr>
        <w:t>)</w:t>
      </w:r>
      <w:r>
        <w:rPr>
          <w:rStyle w:val="mord"/>
          <w:rFonts w:ascii="Cambria Math" w:hAnsi="Cambria Math" w:cs="Cambria Math"/>
          <w:color w:val="ECECEC"/>
          <w:sz w:val="20"/>
          <w:szCs w:val="20"/>
          <w:shd w:val="clear" w:color="auto" w:fill="212121"/>
        </w:rPr>
        <w:t>∣</w:t>
      </w:r>
      <w:r>
        <w:rPr>
          <w:rStyle w:val="mord"/>
          <w:rFonts w:ascii="Times New Roman" w:hAnsi="Times New Roman" w:cs="Times New Roman"/>
          <w:color w:val="ECECEC"/>
          <w:sz w:val="20"/>
          <w:szCs w:val="20"/>
          <w:shd w:val="clear" w:color="auto" w:fill="212121"/>
        </w:rPr>
        <w:t>1</w:t>
      </w:r>
      <w:r w:rsidR="009E15AD">
        <w:rPr>
          <w:rStyle w:val="mord"/>
          <w:rFonts w:ascii="Times New Roman" w:hAnsi="Times New Roman" w:cs="Times New Roman"/>
          <w:color w:val="ECECEC"/>
          <w:sz w:val="20"/>
          <w:szCs w:val="20"/>
          <w:shd w:val="clear" w:color="auto" w:fill="212121"/>
        </w:rPr>
        <w:br/>
      </w:r>
      <w:r w:rsidR="009E15AD">
        <w:rPr>
          <w:rStyle w:val="mord"/>
          <w:rFonts w:ascii="Times New Roman" w:hAnsi="Times New Roman" w:cs="Times New Roman"/>
          <w:color w:val="ECECEC"/>
          <w:sz w:val="20"/>
          <w:szCs w:val="20"/>
          <w:shd w:val="clear" w:color="auto" w:fill="212121"/>
        </w:rPr>
        <w:br/>
      </w:r>
      <w:r w:rsidR="009E15AD">
        <w:br/>
      </w:r>
      <w:r w:rsidR="009E15AD">
        <w:rPr>
          <w:rFonts w:hint="eastAsia"/>
        </w:rPr>
        <w:t>결론: 부적합</w:t>
      </w:r>
      <w:r w:rsidR="009E15AD">
        <w:br/>
      </w:r>
      <w:r w:rsidR="009E15AD">
        <w:rPr>
          <w:rFonts w:hint="eastAsia"/>
        </w:rPr>
        <w:t xml:space="preserve">이유: 2번의 이유로 부적합하다. </w:t>
      </w:r>
      <w:r w:rsidR="009E15AD">
        <w:t>S</w:t>
      </w:r>
      <w:r w:rsidR="009E15AD">
        <w:rPr>
          <w:rFonts w:hint="eastAsia"/>
        </w:rPr>
        <w:t xml:space="preserve">kill과 연결된 노드가 많을수록 더 중요도가 높은 skill이라고 </w:t>
      </w:r>
      <w:proofErr w:type="spellStart"/>
      <w:r w:rsidR="009E15AD">
        <w:rPr>
          <w:rFonts w:hint="eastAsia"/>
        </w:rPr>
        <w:t>판단해야하기</w:t>
      </w:r>
      <w:proofErr w:type="spellEnd"/>
      <w:r w:rsidR="009E15AD">
        <w:rPr>
          <w:rFonts w:hint="eastAsia"/>
        </w:rPr>
        <w:t xml:space="preserve"> 때문에.</w:t>
      </w:r>
    </w:p>
    <w:p w14:paraId="3BD4C2ED" w14:textId="201C40E3" w:rsidR="003650F5" w:rsidRDefault="009E15AD" w:rsidP="00121855">
      <w:pPr>
        <w:pStyle w:val="a6"/>
        <w:numPr>
          <w:ilvl w:val="0"/>
          <w:numId w:val="1"/>
        </w:numPr>
      </w:pPr>
      <w:r w:rsidRPr="009E15AD">
        <w:rPr>
          <w:rFonts w:hint="eastAsia"/>
          <w:b/>
          <w:bCs/>
          <w:sz w:val="26"/>
          <w:szCs w:val="26"/>
        </w:rPr>
        <w:t>코사인 유사도</w:t>
      </w:r>
      <w:r>
        <w:br/>
      </w:r>
      <w:r w:rsidRPr="00CA0282">
        <w:t>주로 텍스트 데이터를 벡터로 표현한 후, 이 벡터들 간의 각도를 비교함으로써 문서나 문장들 간의 유사성을 측정합니다. 일반적으로 텍스트를 벡터로 표현할 때에는 각 단어를 차원으로 갖는 벡터 공간 모델을 사용합니다. 이 때 각 차원은 단어의 빈도수나 TF-IDF 등과 같은 방법을 사용하여 값을 할당합니다</w:t>
      </w:r>
      <w:r>
        <w:rPr>
          <w:rFonts w:ascii="Segoe UI" w:hAnsi="Segoe UI" w:cs="Segoe UI"/>
          <w:color w:val="ECECEC"/>
          <w:shd w:val="clear" w:color="auto" w:fill="212121"/>
        </w:rPr>
        <w:t>.</w:t>
      </w:r>
      <w:r>
        <w:rPr>
          <w:rFonts w:ascii="Segoe UI" w:hAnsi="Segoe UI" w:cs="Segoe UI"/>
          <w:color w:val="ECECEC"/>
          <w:shd w:val="clear" w:color="auto" w:fill="212121"/>
        </w:rPr>
        <w:br/>
      </w:r>
      <w:r w:rsidR="00CA0282" w:rsidRPr="00CA0282">
        <w:drawing>
          <wp:inline distT="0" distB="0" distL="0" distR="0" wp14:anchorId="76F21070" wp14:editId="0BF942BA">
            <wp:extent cx="3263900" cy="824834"/>
            <wp:effectExtent l="0" t="0" r="0" b="0"/>
            <wp:docPr id="1032877197" name="그림 1" descr="텍스트, 폰트, 라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77197" name="그림 1" descr="텍스트, 폰트, 라인, 친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0242" cy="83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33AC" w14:textId="76F49927" w:rsidR="009E15AD" w:rsidRDefault="009E15AD" w:rsidP="00121855">
      <w:pPr>
        <w:pStyle w:val="a6"/>
        <w:numPr>
          <w:ilvl w:val="0"/>
          <w:numId w:val="1"/>
        </w:numPr>
      </w:pPr>
      <w:r w:rsidRPr="009E15AD">
        <w:rPr>
          <w:rFonts w:hint="eastAsia"/>
          <w:b/>
          <w:bCs/>
          <w:sz w:val="26"/>
          <w:szCs w:val="26"/>
        </w:rPr>
        <w:t>유클리드 거리</w:t>
      </w:r>
      <w:r>
        <w:br/>
      </w:r>
      <w:r w:rsidR="00CA0282" w:rsidRPr="00DB0BAF">
        <w:t>유클리드 거리는 벡터 공간에서 두 점(벡터) 간의 직선 거리를 측정하는 지표입니다.</w:t>
      </w:r>
      <w:r w:rsidR="00CA0282" w:rsidRPr="00DB0BAF">
        <w:br/>
      </w:r>
      <w:r w:rsidR="00DB0BAF" w:rsidRPr="00DB0BAF">
        <w:lastRenderedPageBreak/>
        <w:drawing>
          <wp:inline distT="0" distB="0" distL="0" distR="0" wp14:anchorId="20A471BF" wp14:editId="6E7E98DB">
            <wp:extent cx="3697748" cy="647700"/>
            <wp:effectExtent l="0" t="0" r="0" b="0"/>
            <wp:docPr id="1251463565" name="그림 1" descr="텍스트, 폰트, 라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63565" name="그림 1" descr="텍스트, 폰트, 라인, 친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437" cy="6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F7F5" w14:textId="5AC4BF5B" w:rsidR="009E15AD" w:rsidRDefault="009E15AD" w:rsidP="00121855">
      <w:pPr>
        <w:pStyle w:val="a6"/>
        <w:numPr>
          <w:ilvl w:val="0"/>
          <w:numId w:val="1"/>
        </w:numPr>
      </w:pPr>
      <w:proofErr w:type="spellStart"/>
      <w:r w:rsidRPr="009E15AD">
        <w:rPr>
          <w:rFonts w:hint="eastAsia"/>
          <w:b/>
          <w:bCs/>
          <w:sz w:val="26"/>
          <w:szCs w:val="26"/>
        </w:rPr>
        <w:t>피어슨</w:t>
      </w:r>
      <w:proofErr w:type="spellEnd"/>
      <w:r w:rsidRPr="009E15AD">
        <w:rPr>
          <w:rFonts w:hint="eastAsia"/>
          <w:b/>
          <w:bCs/>
          <w:sz w:val="26"/>
          <w:szCs w:val="26"/>
        </w:rPr>
        <w:t xml:space="preserve"> 상관 계수</w:t>
      </w:r>
      <w:r w:rsidR="00CC77F5">
        <w:rPr>
          <w:rFonts w:hint="eastAsia"/>
          <w:b/>
          <w:bCs/>
          <w:sz w:val="26"/>
          <w:szCs w:val="26"/>
        </w:rPr>
        <w:t>(부적합)</w:t>
      </w:r>
      <w:r>
        <w:br/>
      </w:r>
      <w:proofErr w:type="spellStart"/>
      <w:r w:rsidR="00CC77F5">
        <w:rPr>
          <w:rFonts w:hint="eastAsia"/>
        </w:rPr>
        <w:t>피어슨</w:t>
      </w:r>
      <w:proofErr w:type="spellEnd"/>
      <w:r w:rsidR="00CC77F5">
        <w:rPr>
          <w:rFonts w:hint="eastAsia"/>
        </w:rPr>
        <w:t xml:space="preserve"> 상관 계수는 주로 </w:t>
      </w:r>
      <w:r w:rsidR="00CC77F5" w:rsidRPr="00CC77F5">
        <w:rPr>
          <w:rFonts w:hint="eastAsia"/>
          <w:highlight w:val="yellow"/>
        </w:rPr>
        <w:t>데이터 간의 선형적 관계</w:t>
      </w:r>
      <w:r w:rsidR="00CC77F5">
        <w:rPr>
          <w:rFonts w:hint="eastAsia"/>
        </w:rPr>
        <w:t xml:space="preserve">를 측정하기 위해 사용되며, </w:t>
      </w:r>
      <w:r w:rsidR="00CC77F5" w:rsidRPr="00CC77F5">
        <w:rPr>
          <w:rFonts w:hint="eastAsia"/>
          <w:highlight w:val="yellow"/>
        </w:rPr>
        <w:t>데이터의 분포가 정규 분포를 따르고 선형성을 보일 때 가장 잘 작동한다</w:t>
      </w:r>
      <w:r w:rsidR="00CC77F5">
        <w:rPr>
          <w:rFonts w:hint="eastAsia"/>
        </w:rPr>
        <w:t>.</w:t>
      </w:r>
    </w:p>
    <w:p w14:paraId="67F214A7" w14:textId="77777777" w:rsidR="00FF76C8" w:rsidRDefault="00FF76C8" w:rsidP="00FF76C8">
      <w:pPr>
        <w:pStyle w:val="a6"/>
        <w:pBdr>
          <w:bottom w:val="single" w:sz="6" w:space="1" w:color="auto"/>
        </w:pBdr>
        <w:ind w:left="800"/>
      </w:pPr>
    </w:p>
    <w:p w14:paraId="2E55C11C" w14:textId="77777777" w:rsidR="00FF76C8" w:rsidRDefault="00FF76C8" w:rsidP="00FF76C8">
      <w:pPr>
        <w:pStyle w:val="a6"/>
        <w:ind w:left="800"/>
        <w:rPr>
          <w:b/>
          <w:bCs/>
          <w:sz w:val="26"/>
          <w:szCs w:val="26"/>
        </w:rPr>
      </w:pPr>
    </w:p>
    <w:p w14:paraId="6865AFB7" w14:textId="197750F9" w:rsidR="00CC77F5" w:rsidRDefault="00FF76C8" w:rsidP="00FF76C8">
      <w:pPr>
        <w:pStyle w:val="a6"/>
        <w:ind w:left="800"/>
        <w:rPr>
          <w:rFonts w:hint="eastAsia"/>
        </w:rPr>
      </w:pPr>
      <w:r>
        <w:rPr>
          <w:rFonts w:hint="eastAsia"/>
          <w:b/>
          <w:bCs/>
          <w:sz w:val="26"/>
          <w:szCs w:val="26"/>
        </w:rPr>
        <w:t xml:space="preserve">P.S </w:t>
      </w:r>
      <w:r w:rsidR="00CC77F5">
        <w:rPr>
          <w:rFonts w:hint="eastAsia"/>
          <w:b/>
          <w:bCs/>
          <w:sz w:val="26"/>
          <w:szCs w:val="26"/>
        </w:rPr>
        <w:t>제 아이디어</w:t>
      </w:r>
      <w:r w:rsidR="00CC77F5">
        <w:rPr>
          <w:b/>
          <w:bCs/>
          <w:sz w:val="26"/>
          <w:szCs w:val="26"/>
        </w:rPr>
        <w:br/>
      </w:r>
      <w:r w:rsidR="00CC77F5">
        <w:rPr>
          <w:rFonts w:hint="eastAsia"/>
        </w:rPr>
        <w:t xml:space="preserve">skill노드는 무조건 직업 </w:t>
      </w:r>
      <w:proofErr w:type="spellStart"/>
      <w:r w:rsidR="00CC77F5">
        <w:rPr>
          <w:rFonts w:hint="eastAsia"/>
        </w:rPr>
        <w:t>노드랑</w:t>
      </w:r>
      <w:proofErr w:type="spellEnd"/>
      <w:r w:rsidR="00CC77F5">
        <w:rPr>
          <w:rFonts w:hint="eastAsia"/>
        </w:rPr>
        <w:t xml:space="preserve"> 연결되어 있다.</w:t>
      </w:r>
      <w:r w:rsidR="00CC77F5">
        <w:br/>
      </w:r>
      <w:r w:rsidR="00CC77F5">
        <w:rPr>
          <w:rFonts w:hint="eastAsia"/>
        </w:rPr>
        <w:t>skill노드의 degree(edge)의 수가 많을수록 다른 직</w:t>
      </w:r>
      <w:r w:rsidR="005F7248">
        <w:rPr>
          <w:rFonts w:hint="eastAsia"/>
        </w:rPr>
        <w:t>업에도 필요한 능력이다. 범용성, 중요도가 높다고 판단할 수 있지 않을까?</w:t>
      </w:r>
      <w:r w:rsidR="005F7248">
        <w:br/>
      </w:r>
      <w:r>
        <w:rPr>
          <w:rFonts w:hint="eastAsia"/>
        </w:rPr>
        <w:t>사용자 skill노드의 degree의 수가 많은 것에 가중치를 줘서 해당 skill관 연관된 다른 직업들을 추천해준다.</w:t>
      </w:r>
      <w:r>
        <w:br/>
      </w:r>
      <w:r>
        <w:rPr>
          <w:rFonts w:hint="eastAsia"/>
        </w:rPr>
        <w:t xml:space="preserve">유사도가 높은 직업은 현재 직업과 연관이 많을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없음. 하지만 위의 방법을 쓴다면 </w:t>
      </w:r>
      <w:r w:rsidR="001F1C2E">
        <w:rPr>
          <w:rFonts w:hint="eastAsia"/>
        </w:rPr>
        <w:t xml:space="preserve">내가 가지 skill 중 내 생각보다 더 수요가 많은 skill을 찾을 수도 있고 전혀 생각지도 못한 분야의 직업을 </w:t>
      </w:r>
      <w:proofErr w:type="spellStart"/>
      <w:r w:rsidR="001F1C2E">
        <w:rPr>
          <w:rFonts w:hint="eastAsia"/>
        </w:rPr>
        <w:t>추천받을</w:t>
      </w:r>
      <w:proofErr w:type="spellEnd"/>
      <w:r w:rsidR="001F1C2E">
        <w:rPr>
          <w:rFonts w:hint="eastAsia"/>
        </w:rPr>
        <w:t xml:space="preserve"> 수도 있다. 다양한 관점에서 사용자에게 결과를 주어 사용자에게 인사이트(깨달음)을 줄 수도 있다.</w:t>
      </w:r>
    </w:p>
    <w:sectPr w:rsidR="00CC77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F1B89"/>
    <w:multiLevelType w:val="hybridMultilevel"/>
    <w:tmpl w:val="17046006"/>
    <w:lvl w:ilvl="0" w:tplc="469C23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5221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55"/>
    <w:rsid w:val="00121855"/>
    <w:rsid w:val="001F1C2E"/>
    <w:rsid w:val="003650F5"/>
    <w:rsid w:val="003703A9"/>
    <w:rsid w:val="005F7248"/>
    <w:rsid w:val="009E15AD"/>
    <w:rsid w:val="00CA0282"/>
    <w:rsid w:val="00CC77F5"/>
    <w:rsid w:val="00DB0BAF"/>
    <w:rsid w:val="00FF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0DC4"/>
  <w15:chartTrackingRefBased/>
  <w15:docId w15:val="{898C7349-7921-4BDC-9E77-0CEA7E54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185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1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18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185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185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185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185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185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185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2185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2185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2185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218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218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218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218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218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2185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218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1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18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218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21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2185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2185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2185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21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2185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21855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a0"/>
    <w:rsid w:val="003650F5"/>
  </w:style>
  <w:style w:type="character" w:customStyle="1" w:styleId="mopen">
    <w:name w:val="mopen"/>
    <w:basedOn w:val="a0"/>
    <w:rsid w:val="003650F5"/>
  </w:style>
  <w:style w:type="character" w:customStyle="1" w:styleId="mpunct">
    <w:name w:val="mpunct"/>
    <w:basedOn w:val="a0"/>
    <w:rsid w:val="003650F5"/>
  </w:style>
  <w:style w:type="character" w:customStyle="1" w:styleId="mclose">
    <w:name w:val="mclose"/>
    <w:basedOn w:val="a0"/>
    <w:rsid w:val="003650F5"/>
  </w:style>
  <w:style w:type="character" w:customStyle="1" w:styleId="mrel">
    <w:name w:val="mrel"/>
    <w:basedOn w:val="a0"/>
    <w:rsid w:val="003650F5"/>
  </w:style>
  <w:style w:type="character" w:customStyle="1" w:styleId="mop">
    <w:name w:val="mop"/>
    <w:basedOn w:val="a0"/>
    <w:rsid w:val="003650F5"/>
  </w:style>
  <w:style w:type="character" w:customStyle="1" w:styleId="mbin">
    <w:name w:val="mbin"/>
    <w:basedOn w:val="a0"/>
    <w:rsid w:val="003650F5"/>
  </w:style>
  <w:style w:type="character" w:customStyle="1" w:styleId="vlist-s">
    <w:name w:val="vlist-s"/>
    <w:basedOn w:val="a0"/>
    <w:rsid w:val="003650F5"/>
  </w:style>
  <w:style w:type="character" w:customStyle="1" w:styleId="mtight">
    <w:name w:val="mtight"/>
    <w:basedOn w:val="a0"/>
    <w:rsid w:val="0036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동아대</dc:creator>
  <cp:keywords/>
  <dc:description/>
  <cp:lastModifiedBy>동아대</cp:lastModifiedBy>
  <cp:revision>1</cp:revision>
  <dcterms:created xsi:type="dcterms:W3CDTF">2024-05-12T12:35:00Z</dcterms:created>
  <dcterms:modified xsi:type="dcterms:W3CDTF">2024-05-12T15:48:00Z</dcterms:modified>
</cp:coreProperties>
</file>