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before="0" w:after="0"/>
        <w:jc w:val="left"/>
        <w:rPr>
          <w:rFonts w:eastAsia="Arial"/>
          <w:szCs w:val="22"/>
        </w:rPr>
      </w:pPr>
      <w:r>
        <w:rPr>
          <w:rFonts w:eastAsia="Arial"/>
          <w:szCs w:val="22"/>
        </w:rPr>
      </w:r>
    </w:p>
    <w:p>
      <w:pPr>
        <w:pStyle w:val="Normal"/>
        <w:widowControl w:val="false"/>
        <w:spacing w:before="0" w:after="0"/>
        <w:jc w:val="left"/>
        <w:rPr>
          <w:rFonts w:eastAsia="Arial"/>
          <w:szCs w:val="22"/>
        </w:rPr>
      </w:pPr>
      <w:r>
        <w:rPr>
          <w:rFonts w:eastAsia="Arial"/>
          <w:szCs w:val="22"/>
        </w:rPr>
      </w:r>
    </w:p>
    <w:p>
      <w:pPr>
        <w:pStyle w:val="Normal"/>
        <w:widowControl w:val="false"/>
        <w:spacing w:before="0" w:after="0"/>
        <w:jc w:val="left"/>
        <w:rPr>
          <w:rFonts w:eastAsia="Arial"/>
          <w:szCs w:val="22"/>
        </w:rPr>
      </w:pPr>
      <w:r>
        <w:rPr>
          <w:rFonts w:eastAsia="Arial"/>
          <w:szCs w:val="22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1403350</wp:posOffset>
            </wp:positionH>
            <wp:positionV relativeFrom="paragraph">
              <wp:posOffset>187960</wp:posOffset>
            </wp:positionV>
            <wp:extent cx="4039235" cy="998855"/>
            <wp:effectExtent l="0" t="0" r="0" b="0"/>
            <wp:wrapNone/>
            <wp:docPr id="1" name="Image 1" descr="Une image contenant texte, Police, capture d’écran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Police, capture d’écran, logo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spacing w:before="0" w:after="0"/>
        <w:jc w:val="left"/>
        <w:rPr>
          <w:rFonts w:eastAsia="Arial"/>
          <w:szCs w:val="22"/>
        </w:rPr>
      </w:pPr>
      <w:r>
        <w:rPr>
          <w:rFonts w:eastAsia="Arial"/>
          <w:szCs w:val="22"/>
        </w:rPr>
      </w:r>
    </w:p>
    <w:p>
      <w:pPr>
        <w:pStyle w:val="Normal"/>
        <w:widowControl w:val="false"/>
        <w:spacing w:before="0" w:after="0"/>
        <w:jc w:val="left"/>
        <w:rPr>
          <w:rFonts w:eastAsia="Arial"/>
          <w:szCs w:val="22"/>
        </w:rPr>
      </w:pPr>
      <w:r>
        <w:rPr>
          <w:rFonts w:eastAsia="Arial"/>
          <w:szCs w:val="22"/>
        </w:rPr>
      </w:r>
    </w:p>
    <w:p>
      <w:pPr>
        <w:pStyle w:val="Normal"/>
        <w:widowControl w:val="false"/>
        <w:spacing w:before="0" w:after="0"/>
        <w:jc w:val="left"/>
        <w:rPr>
          <w:rFonts w:eastAsia="Arial"/>
          <w:szCs w:val="22"/>
        </w:rPr>
      </w:pPr>
      <w:r>
        <w:rPr>
          <w:rFonts w:eastAsia="Arial"/>
          <w:szCs w:val="22"/>
        </w:rPr>
      </w:r>
    </w:p>
    <w:p>
      <w:pPr>
        <w:pStyle w:val="Normal"/>
        <w:widowControl w:val="false"/>
        <w:spacing w:before="0" w:after="0"/>
        <w:jc w:val="left"/>
        <w:rPr>
          <w:rFonts w:eastAsia="Arial"/>
          <w:szCs w:val="22"/>
        </w:rPr>
      </w:pPr>
      <w:r>
        <w:rPr>
          <w:rFonts w:eastAsia="Arial"/>
          <w:szCs w:val="22"/>
        </w:rPr>
      </w:r>
    </w:p>
    <w:p>
      <w:pPr>
        <w:pStyle w:val="Normal"/>
        <w:widowControl w:val="false"/>
        <w:spacing w:before="0" w:after="0"/>
        <w:jc w:val="left"/>
        <w:rPr>
          <w:rFonts w:eastAsia="Arial"/>
          <w:szCs w:val="22"/>
        </w:rPr>
      </w:pPr>
      <w:r>
        <w:rPr>
          <w:rFonts w:eastAsia="Arial"/>
          <w:szCs w:val="22"/>
        </w:rPr>
      </w:r>
    </w:p>
    <w:p>
      <w:pPr>
        <w:pStyle w:val="Normal"/>
        <w:widowControl w:val="false"/>
        <w:spacing w:before="9" w:after="0"/>
        <w:rPr>
          <w:rFonts w:eastAsia="Arial"/>
          <w:szCs w:val="22"/>
        </w:rPr>
      </w:pPr>
      <w:r>
        <w:rPr>
          <w:rFonts w:eastAsia="Arial"/>
          <w:szCs w:val="22"/>
        </w:rPr>
      </w:r>
      <w:bookmarkStart w:id="0" w:name="_Hlk157510489"/>
      <w:bookmarkStart w:id="1" w:name="_Hlk157510489"/>
      <w:bookmarkEnd w:id="1"/>
    </w:p>
    <w:p>
      <w:pPr>
        <w:pStyle w:val="Normal"/>
        <w:widowControl w:val="false"/>
        <w:spacing w:before="0" w:after="0"/>
        <w:jc w:val="left"/>
        <w:rPr>
          <w:rFonts w:eastAsia="Arial"/>
          <w:szCs w:val="22"/>
        </w:rPr>
      </w:pPr>
      <w:r>
        <w:rPr>
          <w:rFonts w:eastAsia="Arial"/>
          <w:szCs w:val="22"/>
        </w:rPr>
      </w:r>
    </w:p>
    <w:p>
      <w:pPr>
        <w:pStyle w:val="Normal"/>
        <w:widowControl w:val="false"/>
        <w:spacing w:before="0" w:after="0"/>
        <w:jc w:val="left"/>
        <w:rPr>
          <w:rFonts w:eastAsia="Arial"/>
          <w:szCs w:val="22"/>
        </w:rPr>
      </w:pPr>
      <w:r>
        <w:rPr>
          <w:rFonts w:eastAsia="Arial"/>
          <w:szCs w:val="22"/>
        </w:rPr>
      </w:r>
    </w:p>
    <w:p>
      <w:pPr>
        <w:pStyle w:val="Normal"/>
        <w:widowControl w:val="false"/>
        <w:spacing w:before="0" w:after="0"/>
        <w:jc w:val="left"/>
        <w:rPr>
          <w:rFonts w:eastAsia="Arial"/>
          <w:szCs w:val="22"/>
        </w:rPr>
      </w:pPr>
      <w:r>
        <w:rPr>
          <w:rFonts w:eastAsia="Arial"/>
          <w:szCs w:val="22"/>
        </w:rPr>
      </w:r>
    </w:p>
    <w:p>
      <w:pPr>
        <w:pStyle w:val="Normal"/>
        <w:widowControl w:val="false"/>
        <w:spacing w:before="0" w:after="0"/>
        <w:jc w:val="left"/>
        <w:rPr>
          <w:rFonts w:eastAsia="Arial"/>
          <w:szCs w:val="22"/>
        </w:rPr>
      </w:pPr>
      <w:r>
        <w:rPr>
          <w:rFonts w:eastAsia="Arial"/>
          <w:szCs w:val="22"/>
        </w:rPr>
      </w:r>
    </w:p>
    <w:p>
      <w:pPr>
        <w:pStyle w:val="Normal"/>
        <w:widowControl w:val="false"/>
        <w:spacing w:before="249" w:after="0"/>
        <w:ind w:left="2205" w:right="1961"/>
        <w:jc w:val="center"/>
        <w:rPr>
          <w:rFonts w:eastAsia="Arial"/>
          <w:b/>
          <w:bCs/>
          <w:sz w:val="40"/>
          <w:szCs w:val="40"/>
        </w:rPr>
      </w:pPr>
      <w:r>
        <w:rPr>
          <w:rFonts w:eastAsia="Arial"/>
          <w:b/>
          <w:bCs/>
          <w:color w:val="538DD3"/>
          <w:sz w:val="40"/>
          <w:szCs w:val="40"/>
        </w:rPr>
        <w:t>DOSSIER DE COMPETENCES</w:t>
      </w:r>
    </w:p>
    <w:p>
      <w:pPr>
        <w:pStyle w:val="Normal"/>
        <w:widowControl w:val="false"/>
        <w:spacing w:before="0" w:after="0"/>
        <w:jc w:val="left"/>
        <w:rPr>
          <w:rFonts w:eastAsia="Arial"/>
          <w:b/>
          <w:szCs w:val="22"/>
        </w:rPr>
      </w:pPr>
      <w:r>
        <w:rPr>
          <w:rFonts w:eastAsia="Arial"/>
          <w:b/>
          <w:szCs w:val="22"/>
        </w:rPr>
      </w:r>
    </w:p>
    <w:p>
      <w:pPr>
        <w:pStyle w:val="Normal"/>
        <w:widowControl w:val="false"/>
        <w:spacing w:before="5" w:after="0"/>
        <w:jc w:val="left"/>
        <w:rPr>
          <w:rFonts w:eastAsia="Arial"/>
          <w:b/>
          <w:szCs w:val="22"/>
        </w:rPr>
      </w:pPr>
      <w:r>
        <w:rPr>
          <w:rFonts w:eastAsia="Arial"/>
          <w:b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before="0" w:after="0"/>
        <w:ind w:hanging="0" w:left="2205" w:right="2085"/>
        <w:jc w:val="center"/>
        <w:outlineLvl w:val="0"/>
        <w:rPr>
          <w:rFonts w:eastAsia="Arial"/>
          <w:b/>
          <w:bCs/>
          <w:color w:val="A6A6A6"/>
          <w:sz w:val="38"/>
          <w:szCs w:val="38"/>
        </w:rPr>
      </w:pPr>
      <w:r>
        <w:rPr>
          <w:rFonts w:eastAsia="Arial"/>
          <w:b/>
          <w:bCs/>
          <w:color w:val="A6A6A6"/>
          <w:sz w:val="38"/>
          <w:szCs w:val="38"/>
        </w:rPr>
        <w:t>LPU</w:t>
      </w:r>
    </w:p>
    <w:p>
      <w:pPr>
        <w:pStyle w:val="Normal"/>
        <w:widowControl w:val="false"/>
        <w:spacing w:before="0" w:after="0"/>
        <w:jc w:val="left"/>
        <w:rPr>
          <w:rFonts w:eastAsia="Arial"/>
          <w:b/>
          <w:szCs w:val="22"/>
        </w:rPr>
      </w:pPr>
      <w:r>
        <w:rPr>
          <w:rFonts w:eastAsia="Arial"/>
          <w:b/>
          <w:szCs w:val="22"/>
        </w:rPr>
      </w:r>
    </w:p>
    <w:p>
      <w:pPr>
        <w:pStyle w:val="Normal"/>
        <w:widowControl w:val="false"/>
        <w:spacing w:before="0" w:after="0"/>
        <w:jc w:val="left"/>
        <w:rPr>
          <w:rFonts w:eastAsia="Arial"/>
          <w:b/>
          <w:szCs w:val="22"/>
        </w:rPr>
      </w:pPr>
      <w:r>
        <w:rPr>
          <w:rFonts w:eastAsia="Arial"/>
          <w:b/>
          <w:szCs w:val="22"/>
        </w:rPr>
      </w:r>
    </w:p>
    <w:p>
      <w:pPr>
        <w:pStyle w:val="Normal"/>
        <w:widowControl w:val="false"/>
        <w:spacing w:before="0" w:after="0"/>
        <w:ind w:left="2205" w:right="2091"/>
        <w:jc w:val="center"/>
        <w:rPr>
          <w:rFonts w:eastAsia="Arial"/>
          <w:b/>
          <w:sz w:val="38"/>
          <w:szCs w:val="38"/>
        </w:rPr>
      </w:pPr>
      <w:r>
        <w:rPr>
          <w:rFonts w:eastAsia="Arial"/>
          <w:b/>
          <w:sz w:val="38"/>
          <w:szCs w:val="38"/>
        </w:rPr>
        <w:t>Ingénieure V&amp;V</w:t>
      </w:r>
    </w:p>
    <w:p>
      <w:pPr>
        <w:pStyle w:val="Normal"/>
        <w:widowControl w:val="false"/>
        <w:spacing w:before="0" w:after="0"/>
        <w:ind w:left="2205" w:right="2091"/>
        <w:jc w:val="center"/>
        <w:rPr>
          <w:rFonts w:eastAsia="Arial"/>
          <w:b/>
          <w:sz w:val="38"/>
          <w:szCs w:val="38"/>
        </w:rPr>
      </w:pPr>
      <w:r>
        <w:rPr>
          <w:rFonts w:eastAsia="Arial"/>
          <w:b/>
          <w:sz w:val="38"/>
          <w:szCs w:val="38"/>
        </w:rPr>
        <w:t>Electrochimie</w:t>
      </w:r>
    </w:p>
    <w:p>
      <w:pPr>
        <w:pStyle w:val="Normal"/>
        <w:widowControl w:val="false"/>
        <w:spacing w:before="0" w:after="0"/>
        <w:ind w:left="2205" w:right="2091"/>
        <w:jc w:val="center"/>
        <w:rPr>
          <w:rFonts w:eastAsia="Arial"/>
          <w:b/>
          <w:sz w:val="38"/>
          <w:szCs w:val="38"/>
        </w:rPr>
      </w:pPr>
      <w:r>
        <w:rPr>
          <w:rFonts w:eastAsia="Arial"/>
          <w:b/>
          <w:sz w:val="38"/>
          <w:szCs w:val="38"/>
        </w:rPr>
      </w:r>
    </w:p>
    <w:p>
      <w:pPr>
        <w:pStyle w:val="Normal"/>
        <w:widowControl w:val="false"/>
        <w:spacing w:before="0" w:after="0"/>
        <w:ind w:left="2205" w:right="2091"/>
        <w:jc w:val="center"/>
        <w:rPr>
          <w:rFonts w:eastAsia="Arial"/>
          <w:b/>
          <w:sz w:val="38"/>
          <w:szCs w:val="38"/>
        </w:rPr>
      </w:pPr>
      <w:r>
        <w:rPr>
          <w:rFonts w:eastAsia="Arial"/>
          <w:b/>
          <w:sz w:val="38"/>
          <w:szCs w:val="38"/>
        </w:rPr>
      </w:r>
    </w:p>
    <w:p>
      <w:pPr>
        <w:pStyle w:val="Normal"/>
        <w:widowControl w:val="false"/>
        <w:spacing w:before="1" w:after="0"/>
        <w:jc w:val="left"/>
        <w:rPr>
          <w:rFonts w:eastAsia="Arial"/>
          <w:b/>
          <w:szCs w:val="22"/>
        </w:rPr>
      </w:pPr>
      <w:r>
        <w:rPr>
          <w:rFonts w:eastAsia="Arial"/>
          <w:b/>
          <w:szCs w:val="22"/>
        </w:rPr>
      </w:r>
    </w:p>
    <w:p>
      <w:pPr>
        <w:pStyle w:val="Normal"/>
        <w:widowControl w:val="false"/>
        <w:spacing w:before="1" w:after="0"/>
        <w:jc w:val="left"/>
        <w:rPr>
          <w:rFonts w:eastAsia="Arial"/>
          <w:b/>
          <w:szCs w:val="22"/>
        </w:rPr>
      </w:pPr>
      <w:r>
        <w:rPr>
          <w:rFonts w:eastAsia="Arial"/>
          <w:b/>
          <w:szCs w:val="22"/>
        </w:rPr>
      </w:r>
    </w:p>
    <w:p>
      <w:pPr>
        <w:pStyle w:val="Normal"/>
        <w:rPr>
          <w:rFonts w:eastAsia="Arial"/>
          <w:szCs w:val="22"/>
        </w:rPr>
      </w:pPr>
      <w:r>
        <w:rPr>
          <w:rFonts w:eastAsia="Arial"/>
          <w:szCs w:val="22"/>
        </w:rPr>
      </w:r>
      <w:bookmarkStart w:id="2" w:name="_Hlk157510489_Copy_1"/>
      <w:bookmarkStart w:id="3" w:name="_Hlk157510489_Copy_1"/>
      <w:bookmarkEnd w:id="3"/>
    </w:p>
    <w:p>
      <w:pPr>
        <w:pStyle w:val="Normal"/>
        <w:rPr>
          <w:rFonts w:eastAsia="Arial"/>
          <w:szCs w:val="22"/>
        </w:rPr>
      </w:pPr>
      <w:r>
        <w:rPr>
          <w:rFonts w:eastAsia="Arial"/>
          <w:szCs w:val="22"/>
        </w:rPr>
      </w:r>
    </w:p>
    <w:p>
      <w:pPr>
        <w:pStyle w:val="Normal"/>
        <w:jc w:val="center"/>
        <w:rPr>
          <w:rFonts w:eastAsia="Arial"/>
          <w:b/>
          <w:bCs/>
          <w:color w:themeColor="accent2" w:val="ED7D31"/>
          <w:sz w:val="36"/>
          <w:szCs w:val="36"/>
        </w:rPr>
      </w:pPr>
      <w:r>
        <w:rPr>
          <w:rFonts w:eastAsia="Arial"/>
          <w:b/>
          <w:bCs/>
          <w:color w:themeColor="accent2" w:val="ED7D31"/>
          <w:sz w:val="36"/>
          <w:szCs w:val="36"/>
        </w:rPr>
        <w:t>Expérience : (I2)</w:t>
      </w:r>
    </w:p>
    <w:p>
      <w:pPr>
        <w:pStyle w:val="Normal"/>
        <w:jc w:val="center"/>
        <w:rPr>
          <w:rFonts w:eastAsia="Arial"/>
          <w:szCs w:val="22"/>
        </w:rPr>
      </w:pPr>
      <w:r>
        <w:rPr>
          <w:rFonts w:eastAsia="Arial"/>
          <w:szCs w:val="22"/>
        </w:rPr>
      </w:r>
    </w:p>
    <w:p>
      <w:pPr>
        <w:pStyle w:val="Normal"/>
        <w:rPr>
          <w:rFonts w:eastAsia="Arial"/>
          <w:szCs w:val="22"/>
        </w:rPr>
      </w:pPr>
      <w:r>
        <w:rPr>
          <w:rFonts w:eastAsia="Arial"/>
          <w:szCs w:val="22"/>
        </w:rPr>
      </w:r>
    </w:p>
    <w:p>
      <w:pPr>
        <w:pStyle w:val="Normal"/>
        <w:rPr>
          <w:rFonts w:eastAsia="Arial"/>
          <w:szCs w:val="22"/>
        </w:rPr>
      </w:pPr>
      <w:r>
        <w:rPr>
          <w:rFonts w:eastAsia="Arial"/>
          <w:szCs w:val="22"/>
        </w:rPr>
      </w:r>
    </w:p>
    <w:p>
      <w:pPr>
        <w:pStyle w:val="Heading2"/>
        <w:rPr/>
      </w:pPr>
      <w:r>
        <w:rPr/>
        <w:t>Domaines de compétences</w:t>
      </w:r>
    </w:p>
    <w:p>
      <w:pPr>
        <w:pStyle w:val="Heading4"/>
        <w:numPr>
          <w:ilvl w:val="0"/>
          <w:numId w:val="1"/>
        </w:numPr>
        <w:tabs>
          <w:tab w:val="clear" w:pos="708"/>
          <w:tab w:val="left" w:pos="1021" w:leader="none"/>
        </w:tabs>
        <w:spacing w:lineRule="auto" w:line="240" w:before="120" w:after="120"/>
        <w:ind w:hanging="361" w:left="720"/>
        <w:contextualSpacing/>
        <w:rPr/>
      </w:pPr>
      <w:r>
        <w:rPr/>
        <w:t>Gestion de Projet </w:t>
      </w:r>
      <w:r>
        <w:rPr>
          <w:spacing w:val="-1"/>
        </w:rPr>
        <w:t>:</w:t>
      </w:r>
    </w:p>
    <w:p>
      <w:pPr>
        <w:pStyle w:val="bodycv"/>
        <w:numPr>
          <w:ilvl w:val="0"/>
          <w:numId w:val="3"/>
        </w:numPr>
        <w:spacing w:lineRule="auto" w:line="240" w:before="120" w:after="120"/>
        <w:ind w:hanging="360" w:left="2100" w:right="335"/>
        <w:jc w:val="both"/>
        <w:rPr>
          <w:rFonts w:eastAsia="Calibri" w:cs="Arial" w:eastAsiaTheme="minorHAnsi"/>
          <w:color w:val="auto"/>
          <w:sz w:val="21"/>
          <w:lang w:eastAsia="en-US"/>
        </w:rPr>
      </w:pPr>
      <w:r>
        <w:rPr>
          <w:rFonts w:eastAsia="Calibri" w:cs="Arial" w:eastAsiaTheme="minorHAnsi"/>
          <w:color w:val="auto"/>
          <w:sz w:val="21"/>
          <w:lang w:eastAsia="en-US"/>
        </w:rPr>
        <w:t>Pilotage de projets</w:t>
      </w:r>
    </w:p>
    <w:p>
      <w:pPr>
        <w:pStyle w:val="bodycv"/>
        <w:numPr>
          <w:ilvl w:val="0"/>
          <w:numId w:val="3"/>
        </w:numPr>
        <w:spacing w:lineRule="auto" w:line="240" w:before="120" w:after="120"/>
        <w:ind w:hanging="360" w:left="2100" w:right="335"/>
        <w:jc w:val="both"/>
        <w:rPr>
          <w:rFonts w:eastAsia="Calibri" w:cs="Arial" w:eastAsiaTheme="minorHAnsi"/>
          <w:color w:val="auto"/>
          <w:sz w:val="21"/>
          <w:lang w:eastAsia="en-US"/>
        </w:rPr>
      </w:pPr>
      <w:bookmarkStart w:id="4" w:name="_Hlk121269666"/>
      <w:r>
        <w:rPr>
          <w:rFonts w:eastAsia="Calibri" w:cs="Arial" w:eastAsiaTheme="minorHAnsi"/>
          <w:color w:val="auto"/>
          <w:sz w:val="21"/>
          <w:lang w:eastAsia="en-US"/>
        </w:rPr>
        <w:t>Planning et suivi d’avancement</w:t>
      </w:r>
      <w:bookmarkEnd w:id="4"/>
    </w:p>
    <w:p>
      <w:pPr>
        <w:pStyle w:val="bodycv"/>
        <w:numPr>
          <w:ilvl w:val="0"/>
          <w:numId w:val="3"/>
        </w:numPr>
        <w:spacing w:lineRule="auto" w:line="240" w:before="120" w:after="120"/>
        <w:ind w:hanging="360" w:left="2100" w:right="335"/>
        <w:jc w:val="both"/>
        <w:rPr>
          <w:rFonts w:eastAsia="Calibri" w:cs="Arial" w:eastAsiaTheme="minorHAnsi"/>
          <w:color w:val="auto"/>
          <w:sz w:val="21"/>
          <w:lang w:eastAsia="en-US"/>
        </w:rPr>
      </w:pPr>
      <w:r>
        <w:rPr>
          <w:rFonts w:eastAsia="Calibri" w:cs="Arial" w:eastAsiaTheme="minorHAnsi"/>
          <w:color w:val="auto"/>
          <w:sz w:val="21"/>
          <w:lang w:eastAsia="en-US"/>
        </w:rPr>
        <w:t xml:space="preserve">Conception des protocoles </w:t>
      </w:r>
    </w:p>
    <w:p>
      <w:pPr>
        <w:pStyle w:val="bodycv"/>
        <w:numPr>
          <w:ilvl w:val="0"/>
          <w:numId w:val="3"/>
        </w:numPr>
        <w:spacing w:lineRule="auto" w:line="240" w:before="120" w:after="120"/>
        <w:ind w:hanging="360" w:left="2100" w:right="335"/>
        <w:jc w:val="both"/>
        <w:rPr>
          <w:rFonts w:eastAsia="Calibri" w:cs="Arial" w:eastAsiaTheme="minorHAnsi"/>
          <w:color w:val="auto"/>
          <w:sz w:val="21"/>
          <w:lang w:eastAsia="en-US"/>
        </w:rPr>
      </w:pPr>
      <w:r>
        <w:rPr>
          <w:rFonts w:eastAsia="Calibri" w:cs="Arial" w:eastAsiaTheme="minorHAnsi"/>
          <w:color w:val="auto"/>
          <w:sz w:val="21"/>
          <w:lang w:eastAsia="en-US"/>
        </w:rPr>
        <w:t>Rédaction de livrables</w:t>
      </w:r>
    </w:p>
    <w:p>
      <w:pPr>
        <w:pStyle w:val="bodycv"/>
        <w:numPr>
          <w:ilvl w:val="0"/>
          <w:numId w:val="3"/>
        </w:numPr>
        <w:spacing w:lineRule="auto" w:line="240" w:before="120" w:after="120"/>
        <w:ind w:hanging="360" w:left="2100" w:right="335"/>
        <w:jc w:val="both"/>
        <w:rPr>
          <w:rFonts w:eastAsia="Calibri" w:cs="Arial" w:eastAsiaTheme="minorHAnsi"/>
          <w:color w:val="auto"/>
          <w:sz w:val="21"/>
          <w:lang w:eastAsia="en-US"/>
        </w:rPr>
      </w:pPr>
      <w:r>
        <w:rPr>
          <w:rFonts w:eastAsia="Calibri" w:cs="Arial" w:eastAsiaTheme="minorHAnsi"/>
          <w:color w:val="auto"/>
          <w:sz w:val="21"/>
          <w:lang w:eastAsia="en-US"/>
        </w:rPr>
        <w:t>Collaboration : fournisseurs, clients</w:t>
      </w:r>
    </w:p>
    <w:p>
      <w:pPr>
        <w:pStyle w:val="Heading4"/>
        <w:numPr>
          <w:ilvl w:val="0"/>
          <w:numId w:val="1"/>
        </w:numPr>
        <w:tabs>
          <w:tab w:val="clear" w:pos="708"/>
          <w:tab w:val="left" w:pos="1021" w:leader="none"/>
        </w:tabs>
        <w:spacing w:lineRule="auto" w:line="240" w:before="120" w:after="120"/>
        <w:ind w:hanging="361" w:left="720"/>
        <w:contextualSpacing/>
        <w:rPr/>
      </w:pPr>
      <w:r>
        <w:rPr/>
        <w:t>Essais électrochimiques :</w:t>
      </w:r>
    </w:p>
    <w:p>
      <w:pPr>
        <w:pStyle w:val="bodycv"/>
        <w:numPr>
          <w:ilvl w:val="0"/>
          <w:numId w:val="3"/>
        </w:numPr>
        <w:spacing w:lineRule="auto" w:line="240" w:before="120" w:after="120"/>
        <w:ind w:hanging="360" w:left="2100" w:right="335"/>
        <w:jc w:val="both"/>
        <w:rPr>
          <w:rFonts w:eastAsia="Calibri" w:cs="Arial" w:eastAsiaTheme="minorHAnsi"/>
          <w:color w:val="auto"/>
          <w:sz w:val="21"/>
          <w:lang w:eastAsia="en-US"/>
        </w:rPr>
      </w:pPr>
      <w:r>
        <w:rPr>
          <w:rFonts w:eastAsia="Calibri" w:cs="Arial" w:eastAsiaTheme="minorHAnsi"/>
          <w:color w:val="auto"/>
          <w:sz w:val="21"/>
          <w:lang w:eastAsia="en-US"/>
        </w:rPr>
        <w:t>Fabrication et optimisation d’électrode de travail PPF (spin coating)</w:t>
      </w:r>
    </w:p>
    <w:p>
      <w:pPr>
        <w:pStyle w:val="bodycv"/>
        <w:numPr>
          <w:ilvl w:val="0"/>
          <w:numId w:val="3"/>
        </w:numPr>
        <w:spacing w:lineRule="auto" w:line="240" w:before="120" w:after="120"/>
        <w:ind w:hanging="360" w:left="2100" w:right="335"/>
        <w:jc w:val="both"/>
        <w:rPr>
          <w:rFonts w:eastAsia="Calibri" w:cs="Arial" w:eastAsiaTheme="minorHAnsi"/>
          <w:b/>
          <w:bCs/>
          <w:color w:val="auto"/>
          <w:sz w:val="21"/>
          <w:lang w:eastAsia="en-US"/>
        </w:rPr>
      </w:pPr>
      <w:r>
        <w:rPr>
          <w:rFonts w:eastAsia="Calibri" w:cs="Arial" w:eastAsiaTheme="minorHAnsi"/>
          <w:color w:val="auto"/>
          <w:sz w:val="21"/>
          <w:lang w:eastAsia="en-US"/>
        </w:rPr>
        <w:t xml:space="preserve">Montage de cellule test Swagelok </w:t>
      </w:r>
    </w:p>
    <w:p>
      <w:pPr>
        <w:pStyle w:val="bodycv"/>
        <w:numPr>
          <w:ilvl w:val="0"/>
          <w:numId w:val="3"/>
        </w:numPr>
        <w:spacing w:lineRule="auto" w:line="240" w:before="120" w:after="120"/>
        <w:ind w:hanging="360" w:left="2100" w:right="335"/>
        <w:jc w:val="both"/>
        <w:rPr>
          <w:rFonts w:eastAsia="Calibri" w:cs="Arial" w:eastAsiaTheme="minorHAnsi"/>
          <w:color w:val="auto"/>
          <w:sz w:val="21"/>
          <w:lang w:eastAsia="en-US"/>
        </w:rPr>
      </w:pPr>
      <w:r>
        <w:rPr>
          <w:rFonts w:eastAsia="Calibri" w:cs="Arial" w:eastAsiaTheme="minorHAnsi"/>
          <w:color w:val="auto"/>
          <w:sz w:val="21"/>
          <w:lang w:eastAsia="en-US"/>
        </w:rPr>
        <w:t>Synthèses et caractérisations électrochimiques</w:t>
      </w:r>
    </w:p>
    <w:p>
      <w:pPr>
        <w:pStyle w:val="bodycv"/>
        <w:numPr>
          <w:ilvl w:val="0"/>
          <w:numId w:val="3"/>
        </w:numPr>
        <w:spacing w:lineRule="auto" w:line="240" w:before="120" w:after="120"/>
        <w:ind w:hanging="360" w:left="2100" w:right="335"/>
        <w:jc w:val="both"/>
        <w:rPr>
          <w:rFonts w:eastAsia="Calibri" w:cs="Arial" w:eastAsiaTheme="minorHAnsi"/>
          <w:b/>
          <w:bCs/>
          <w:color w:val="auto"/>
          <w:sz w:val="21"/>
          <w:lang w:eastAsia="en-US"/>
        </w:rPr>
      </w:pPr>
      <w:r>
        <w:rPr>
          <w:rFonts w:eastAsia="Calibri" w:cs="Arial" w:eastAsiaTheme="minorHAnsi"/>
          <w:b/>
          <w:bCs/>
          <w:color w:val="auto"/>
          <w:sz w:val="21"/>
          <w:lang w:eastAsia="en-US"/>
        </w:rPr>
        <w:t>Mise en place et suivi d’essais :</w:t>
      </w:r>
    </w:p>
    <w:p>
      <w:pPr>
        <w:pStyle w:val="bodycv"/>
        <w:numPr>
          <w:ilvl w:val="1"/>
          <w:numId w:val="3"/>
        </w:numPr>
        <w:spacing w:lineRule="auto" w:line="240" w:before="120" w:after="120"/>
        <w:ind w:hanging="360" w:left="2820" w:right="335"/>
        <w:jc w:val="both"/>
        <w:rPr>
          <w:rFonts w:eastAsia="Calibri" w:cs="Arial" w:eastAsiaTheme="minorHAnsi"/>
          <w:b/>
          <w:bCs/>
          <w:color w:val="auto"/>
          <w:sz w:val="21"/>
          <w:lang w:eastAsia="en-US"/>
        </w:rPr>
      </w:pPr>
      <w:r>
        <w:rPr>
          <w:rFonts w:eastAsia="Calibri" w:cs="Arial" w:eastAsiaTheme="minorHAnsi"/>
          <w:b/>
          <w:bCs/>
          <w:color w:val="auto"/>
          <w:sz w:val="21"/>
          <w:lang w:eastAsia="en-US"/>
        </w:rPr>
        <w:t>Voltampérométrie cyclique</w:t>
      </w:r>
    </w:p>
    <w:p>
      <w:pPr>
        <w:pStyle w:val="bodycv"/>
        <w:numPr>
          <w:ilvl w:val="1"/>
          <w:numId w:val="3"/>
        </w:numPr>
        <w:spacing w:lineRule="auto" w:line="240" w:before="120" w:after="120"/>
        <w:ind w:hanging="360" w:left="2820" w:right="335"/>
        <w:jc w:val="both"/>
        <w:rPr>
          <w:rFonts w:eastAsia="Calibri" w:cs="Arial" w:eastAsiaTheme="minorHAnsi"/>
          <w:b/>
          <w:bCs/>
          <w:color w:val="auto"/>
          <w:sz w:val="21"/>
          <w:lang w:eastAsia="en-US"/>
        </w:rPr>
      </w:pPr>
      <w:r>
        <w:rPr>
          <w:rFonts w:eastAsia="Calibri" w:cs="Arial" w:eastAsiaTheme="minorHAnsi"/>
          <w:b/>
          <w:bCs/>
          <w:color w:val="auto"/>
          <w:sz w:val="21"/>
          <w:lang w:eastAsia="en-US"/>
        </w:rPr>
        <w:t>Chronoampérométrie</w:t>
      </w:r>
    </w:p>
    <w:p>
      <w:pPr>
        <w:pStyle w:val="bodycv"/>
        <w:numPr>
          <w:ilvl w:val="1"/>
          <w:numId w:val="3"/>
        </w:numPr>
        <w:spacing w:lineRule="auto" w:line="240" w:before="120" w:after="120"/>
        <w:ind w:hanging="360" w:left="2820" w:right="335"/>
        <w:jc w:val="both"/>
        <w:rPr>
          <w:rFonts w:eastAsia="Calibri" w:cs="Arial" w:eastAsiaTheme="minorHAnsi"/>
          <w:b/>
          <w:bCs/>
          <w:color w:val="auto"/>
          <w:sz w:val="21"/>
          <w:lang w:eastAsia="en-US"/>
        </w:rPr>
      </w:pPr>
      <w:r>
        <w:rPr>
          <w:rFonts w:eastAsia="Calibri" w:cs="Arial" w:eastAsiaTheme="minorHAnsi"/>
          <w:b/>
          <w:bCs/>
          <w:color w:val="auto"/>
          <w:sz w:val="21"/>
          <w:lang w:eastAsia="en-US"/>
        </w:rPr>
        <w:t>Charge/décharge galvanostatique</w:t>
      </w:r>
    </w:p>
    <w:p>
      <w:pPr>
        <w:pStyle w:val="bodycv"/>
        <w:numPr>
          <w:ilvl w:val="1"/>
          <w:numId w:val="3"/>
        </w:numPr>
        <w:spacing w:lineRule="auto" w:line="240" w:before="120" w:after="120"/>
        <w:ind w:hanging="360" w:left="2820" w:right="335"/>
        <w:jc w:val="both"/>
        <w:rPr>
          <w:rFonts w:eastAsia="Calibri" w:cs="Arial" w:eastAsiaTheme="minorHAnsi"/>
          <w:b/>
          <w:bCs/>
          <w:color w:val="auto"/>
          <w:sz w:val="21"/>
          <w:lang w:eastAsia="en-US"/>
        </w:rPr>
      </w:pPr>
      <w:r>
        <w:rPr>
          <w:rFonts w:eastAsia="Calibri" w:cs="Arial" w:eastAsiaTheme="minorHAnsi"/>
          <w:b/>
          <w:bCs/>
          <w:color w:val="auto"/>
          <w:sz w:val="21"/>
          <w:lang w:eastAsia="en-US"/>
        </w:rPr>
        <w:t>Spectroscopie d’impédance électrochimique</w:t>
      </w:r>
    </w:p>
    <w:p>
      <w:pPr>
        <w:pStyle w:val="bodycv"/>
        <w:numPr>
          <w:ilvl w:val="0"/>
          <w:numId w:val="3"/>
        </w:numPr>
        <w:spacing w:lineRule="auto" w:line="240" w:before="120" w:after="120"/>
        <w:ind w:hanging="360" w:left="2100" w:right="335"/>
        <w:jc w:val="both"/>
        <w:rPr>
          <w:rFonts w:eastAsia="Calibri" w:cs="Arial" w:eastAsiaTheme="minorHAnsi"/>
          <w:color w:val="auto"/>
          <w:sz w:val="21"/>
          <w:lang w:eastAsia="en-US"/>
        </w:rPr>
      </w:pPr>
      <w:r>
        <w:rPr>
          <w:rFonts w:eastAsia="Calibri" w:cs="Arial" w:eastAsiaTheme="minorHAnsi"/>
          <w:color w:val="auto"/>
          <w:sz w:val="21"/>
          <w:lang w:eastAsia="en-US"/>
        </w:rPr>
        <w:t>Analyse et mise en forme des résultats</w:t>
      </w:r>
    </w:p>
    <w:p>
      <w:pPr>
        <w:pStyle w:val="bodycv"/>
        <w:numPr>
          <w:ilvl w:val="0"/>
          <w:numId w:val="3"/>
        </w:numPr>
        <w:spacing w:lineRule="auto" w:line="240" w:before="120" w:after="120"/>
        <w:ind w:hanging="360" w:left="2100" w:right="335"/>
        <w:jc w:val="both"/>
        <w:rPr>
          <w:rFonts w:eastAsia="Calibri" w:cs="Arial" w:eastAsiaTheme="minorHAnsi"/>
          <w:color w:val="auto"/>
          <w:sz w:val="21"/>
          <w:lang w:eastAsia="en-US"/>
        </w:rPr>
      </w:pPr>
      <w:r>
        <w:rPr>
          <w:rFonts w:eastAsia="Calibri" w:cs="Arial" w:eastAsiaTheme="minorHAnsi"/>
          <w:color w:val="auto"/>
          <w:sz w:val="21"/>
          <w:lang w:eastAsia="en-US"/>
        </w:rPr>
        <w:t>Travail en boite à gants</w:t>
      </w:r>
    </w:p>
    <w:p>
      <w:pPr>
        <w:pStyle w:val="Heading4"/>
        <w:numPr>
          <w:ilvl w:val="0"/>
          <w:numId w:val="1"/>
        </w:numPr>
        <w:tabs>
          <w:tab w:val="clear" w:pos="708"/>
          <w:tab w:val="left" w:pos="1021" w:leader="none"/>
        </w:tabs>
        <w:spacing w:lineRule="auto" w:line="240" w:before="120" w:after="120"/>
        <w:ind w:hanging="361" w:left="720"/>
        <w:contextualSpacing/>
        <w:rPr/>
      </w:pPr>
      <w:r>
        <w:rPr/>
        <w:t>Validation :</w:t>
      </w:r>
    </w:p>
    <w:p>
      <w:pPr>
        <w:pStyle w:val="bodycv"/>
        <w:numPr>
          <w:ilvl w:val="0"/>
          <w:numId w:val="3"/>
        </w:numPr>
        <w:spacing w:lineRule="auto" w:line="240" w:before="120" w:after="120"/>
        <w:ind w:hanging="360" w:left="2100" w:right="335"/>
        <w:jc w:val="both"/>
        <w:rPr>
          <w:rFonts w:eastAsia="Calibri" w:cs="Arial" w:eastAsiaTheme="minorHAnsi"/>
          <w:color w:val="auto"/>
          <w:sz w:val="21"/>
          <w:lang w:eastAsia="en-US"/>
        </w:rPr>
      </w:pPr>
      <w:r>
        <w:rPr>
          <w:rFonts w:eastAsia="Calibri" w:cs="Arial" w:eastAsiaTheme="minorHAnsi"/>
          <w:color w:val="auto"/>
          <w:sz w:val="21"/>
          <w:lang w:eastAsia="en-US"/>
        </w:rPr>
        <w:t xml:space="preserve">Planification des essais dans les délais </w:t>
      </w:r>
    </w:p>
    <w:p>
      <w:pPr>
        <w:pStyle w:val="bodycv"/>
        <w:numPr>
          <w:ilvl w:val="0"/>
          <w:numId w:val="3"/>
        </w:numPr>
        <w:spacing w:lineRule="auto" w:line="240" w:before="120" w:after="120"/>
        <w:ind w:hanging="360" w:left="2100" w:right="335"/>
        <w:jc w:val="both"/>
        <w:rPr>
          <w:rFonts w:eastAsia="Calibri" w:cs="Arial" w:eastAsiaTheme="minorHAnsi"/>
          <w:color w:val="auto"/>
          <w:sz w:val="21"/>
          <w:lang w:eastAsia="en-US"/>
        </w:rPr>
      </w:pPr>
      <w:r>
        <w:rPr>
          <w:rFonts w:eastAsia="Calibri" w:cs="Arial" w:eastAsiaTheme="minorHAnsi"/>
          <w:color w:val="auto"/>
          <w:sz w:val="21"/>
          <w:lang w:eastAsia="en-US"/>
        </w:rPr>
        <w:t>Compréhension des résultats d’analyses</w:t>
      </w:r>
    </w:p>
    <w:p>
      <w:pPr>
        <w:pStyle w:val="bodycv"/>
        <w:numPr>
          <w:ilvl w:val="0"/>
          <w:numId w:val="3"/>
        </w:numPr>
        <w:spacing w:lineRule="auto" w:line="240" w:before="120" w:after="120"/>
        <w:ind w:hanging="360" w:left="2100" w:right="335"/>
        <w:jc w:val="both"/>
        <w:rPr>
          <w:rFonts w:eastAsia="Calibri" w:cs="Arial" w:eastAsiaTheme="minorHAnsi"/>
          <w:color w:val="auto"/>
          <w:sz w:val="21"/>
          <w:lang w:eastAsia="en-US"/>
        </w:rPr>
      </w:pPr>
      <w:r>
        <w:rPr>
          <w:rFonts w:eastAsia="Calibri" w:cs="Arial" w:eastAsiaTheme="minorHAnsi"/>
          <w:color w:val="auto"/>
          <w:sz w:val="21"/>
          <w:lang w:eastAsia="en-US"/>
        </w:rPr>
        <w:t>Corrélation résultats d’analyses / spécifications</w:t>
      </w:r>
    </w:p>
    <w:p>
      <w:pPr>
        <w:pStyle w:val="bodycv"/>
        <w:numPr>
          <w:ilvl w:val="0"/>
          <w:numId w:val="3"/>
        </w:numPr>
        <w:spacing w:lineRule="auto" w:line="240" w:before="120" w:after="120"/>
        <w:ind w:hanging="360" w:left="2100" w:right="335"/>
        <w:jc w:val="both"/>
        <w:rPr>
          <w:rFonts w:eastAsia="Calibri" w:cs="Arial" w:eastAsiaTheme="minorHAnsi"/>
          <w:color w:val="auto"/>
          <w:sz w:val="21"/>
          <w:lang w:eastAsia="en-US"/>
        </w:rPr>
      </w:pPr>
      <w:r>
        <w:rPr>
          <w:rFonts w:eastAsia="Calibri" w:cs="Arial" w:eastAsiaTheme="minorHAnsi"/>
          <w:color w:val="auto"/>
          <w:sz w:val="21"/>
          <w:lang w:eastAsia="en-US"/>
        </w:rPr>
        <w:t>Rédaction documentations de validation</w:t>
      </w:r>
    </w:p>
    <w:p>
      <w:pPr>
        <w:pStyle w:val="Heading4"/>
        <w:numPr>
          <w:ilvl w:val="0"/>
          <w:numId w:val="1"/>
        </w:numPr>
        <w:tabs>
          <w:tab w:val="clear" w:pos="708"/>
          <w:tab w:val="left" w:pos="1021" w:leader="none"/>
        </w:tabs>
        <w:spacing w:lineRule="auto" w:line="240" w:before="120" w:after="120"/>
        <w:ind w:hanging="361" w:left="720"/>
        <w:contextualSpacing/>
        <w:rPr/>
      </w:pPr>
      <w:r>
        <w:rPr/>
        <w:t>Outils informatiques :</w:t>
      </w:r>
    </w:p>
    <w:p>
      <w:pPr>
        <w:pStyle w:val="bodycv"/>
        <w:numPr>
          <w:ilvl w:val="0"/>
          <w:numId w:val="3"/>
        </w:numPr>
        <w:spacing w:lineRule="auto" w:line="240" w:before="120" w:after="120"/>
        <w:ind w:hanging="360" w:left="2100" w:right="335"/>
        <w:jc w:val="both"/>
        <w:rPr>
          <w:rFonts w:eastAsia="Calibri" w:cs="Arial" w:eastAsiaTheme="minorHAnsi"/>
          <w:color w:val="auto"/>
          <w:sz w:val="21"/>
          <w:lang w:eastAsia="en-US"/>
        </w:rPr>
      </w:pPr>
      <w:r>
        <w:rPr>
          <w:rFonts w:eastAsia="Calibri" w:cs="Arial" w:eastAsiaTheme="minorHAnsi"/>
          <w:color w:val="auto"/>
          <w:sz w:val="21"/>
          <w:lang w:eastAsia="en-US"/>
        </w:rPr>
        <w:t>ECLab, SigmaPlot, Matlab, Chemdraw, Excel,</w:t>
      </w:r>
    </w:p>
    <w:p>
      <w:pPr>
        <w:pStyle w:val="Heading4"/>
        <w:numPr>
          <w:ilvl w:val="0"/>
          <w:numId w:val="1"/>
        </w:numPr>
        <w:tabs>
          <w:tab w:val="clear" w:pos="708"/>
          <w:tab w:val="left" w:pos="1021" w:leader="none"/>
        </w:tabs>
        <w:spacing w:lineRule="auto" w:line="240" w:before="120" w:after="120"/>
        <w:ind w:hanging="361" w:left="720"/>
        <w:contextualSpacing/>
        <w:rPr/>
      </w:pPr>
      <w:r>
        <w:rPr/>
        <w:t>Langue :</w:t>
      </w:r>
    </w:p>
    <w:p>
      <w:pPr>
        <w:pStyle w:val="bodycv"/>
        <w:numPr>
          <w:ilvl w:val="0"/>
          <w:numId w:val="3"/>
        </w:numPr>
        <w:spacing w:lineRule="auto" w:line="240" w:before="120" w:after="120"/>
        <w:ind w:hanging="360" w:left="2100" w:right="335"/>
        <w:jc w:val="both"/>
        <w:rPr>
          <w:rFonts w:eastAsia="Calibri" w:cs="Arial" w:eastAsiaTheme="minorHAnsi"/>
          <w:color w:val="auto"/>
          <w:sz w:val="21"/>
          <w:lang w:eastAsia="en-US"/>
        </w:rPr>
      </w:pPr>
      <w:r>
        <w:rPr>
          <w:rFonts w:eastAsia="Calibri" w:cs="Arial" w:eastAsiaTheme="minorHAnsi"/>
          <w:color w:val="auto"/>
          <w:sz w:val="21"/>
          <w:lang w:eastAsia="en-US"/>
        </w:rPr>
        <w:t>Anglais : courant</w:t>
      </w:r>
    </w:p>
    <w:p>
      <w:pPr>
        <w:pStyle w:val="bodycv"/>
        <w:spacing w:lineRule="auto" w:line="240"/>
        <w:ind w:left="737" w:right="335"/>
        <w:jc w:val="both"/>
        <w:rPr>
          <w:rFonts w:cs="Arial"/>
          <w:color w:val="auto"/>
          <w:sz w:val="20"/>
          <w:szCs w:val="20"/>
        </w:rPr>
      </w:pPr>
      <w:r>
        <w:rPr>
          <w:rFonts w:cs="Arial"/>
          <w:color w:val="auto"/>
          <w:sz w:val="20"/>
          <w:szCs w:val="20"/>
        </w:rPr>
      </w:r>
    </w:p>
    <w:p>
      <w:pPr>
        <w:pStyle w:val="bodycv"/>
        <w:spacing w:lineRule="auto" w:line="240"/>
        <w:ind w:left="737" w:right="335"/>
        <w:jc w:val="both"/>
        <w:rPr>
          <w:rFonts w:cs="Arial"/>
          <w:color w:val="auto"/>
          <w:sz w:val="20"/>
          <w:szCs w:val="20"/>
        </w:rPr>
      </w:pPr>
      <w:r>
        <w:rPr>
          <w:rFonts w:cs="Arial"/>
          <w:color w:val="auto"/>
          <w:sz w:val="20"/>
          <w:szCs w:val="20"/>
        </w:rPr>
      </w:r>
    </w:p>
    <w:p>
      <w:pPr>
        <w:pStyle w:val="Heading2"/>
        <w:rPr/>
      </w:pPr>
      <w:r>
        <w:rPr/>
        <w:t>Formation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3"/>
        <w:gridCol w:w="5233"/>
      </w:tblGrid>
      <w:tr>
        <w:trPr/>
        <w:tc>
          <w:tcPr>
            <w:tcW w:w="5233" w:type="dxa"/>
            <w:tcBorders/>
          </w:tcPr>
          <w:p>
            <w:pPr>
              <w:pStyle w:val="Normal"/>
              <w:spacing w:lineRule="auto" w:line="240" w:before="0" w:after="160"/>
              <w:rPr/>
            </w:pPr>
            <w:r>
              <w:rPr/>
              <w:t>2021 </w:t>
            </w:r>
          </w:p>
        </w:tc>
        <w:tc>
          <w:tcPr>
            <w:tcW w:w="5233" w:type="dxa"/>
            <w:tcBorders/>
          </w:tcPr>
          <w:p>
            <w:pPr>
              <w:pStyle w:val="Normal"/>
              <w:spacing w:lineRule="auto" w:line="240" w:before="0" w:after="160"/>
              <w:rPr/>
            </w:pPr>
            <w:r>
              <w:rPr>
                <w:b/>
                <w:bCs/>
              </w:rPr>
              <w:t>Doctorat Chimie, spécialité Chimie physique</w:t>
            </w:r>
            <w:r>
              <w:rPr/>
              <w:t>, Université d’Angers</w:t>
            </w:r>
          </w:p>
        </w:tc>
      </w:tr>
      <w:tr>
        <w:trPr/>
        <w:tc>
          <w:tcPr>
            <w:tcW w:w="5233" w:type="dxa"/>
            <w:tcBorders/>
          </w:tcPr>
          <w:p>
            <w:pPr>
              <w:pStyle w:val="Normal"/>
              <w:spacing w:lineRule="auto" w:line="240" w:before="0" w:after="160"/>
              <w:rPr/>
            </w:pPr>
            <w:r>
              <w:rPr/>
              <w:t>2018 </w:t>
            </w:r>
          </w:p>
        </w:tc>
        <w:tc>
          <w:tcPr>
            <w:tcW w:w="5233" w:type="dxa"/>
            <w:tcBorders/>
          </w:tcPr>
          <w:p>
            <w:pPr>
              <w:pStyle w:val="Normal"/>
              <w:spacing w:lineRule="auto" w:line="240" w:before="0" w:after="160"/>
              <w:rPr/>
            </w:pPr>
            <w:r>
              <w:rPr>
                <w:b/>
                <w:bCs/>
              </w:rPr>
              <w:t>Master LUMOMAT</w:t>
            </w:r>
            <w:r>
              <w:rPr/>
              <w:t xml:space="preserve"> (Lumière, Molécule, Matière), Université de Nantes (M1) et d’Angers (M2)</w:t>
            </w:r>
          </w:p>
        </w:tc>
      </w:tr>
      <w:tr>
        <w:trPr/>
        <w:tc>
          <w:tcPr>
            <w:tcW w:w="5233" w:type="dxa"/>
            <w:tcBorders/>
          </w:tcPr>
          <w:p>
            <w:pPr>
              <w:pStyle w:val="Normal"/>
              <w:spacing w:lineRule="auto" w:line="240" w:before="0" w:after="160"/>
              <w:rPr/>
            </w:pPr>
            <w:r>
              <w:rPr/>
              <w:t>2016 </w:t>
            </w:r>
          </w:p>
        </w:tc>
        <w:tc>
          <w:tcPr>
            <w:tcW w:w="5233" w:type="dxa"/>
            <w:tcBorders/>
          </w:tcPr>
          <w:p>
            <w:pPr>
              <w:pStyle w:val="Normal"/>
              <w:spacing w:lineRule="auto" w:line="240" w:before="0" w:after="160"/>
              <w:rPr/>
            </w:pPr>
            <w:r>
              <w:rPr>
                <w:b/>
                <w:bCs/>
              </w:rPr>
              <w:t>Licence de chimie</w:t>
            </w:r>
            <w:r>
              <w:rPr/>
              <w:t>, Université de Nantes</w:t>
            </w:r>
          </w:p>
        </w:tc>
      </w:tr>
      <w:tr>
        <w:trPr/>
        <w:tc>
          <w:tcPr>
            <w:tcW w:w="5233" w:type="dxa"/>
            <w:tcBorders/>
          </w:tcPr>
          <w:p>
            <w:pPr>
              <w:pStyle w:val="Normal"/>
              <w:spacing w:lineRule="auto" w:line="240" w:before="0" w:after="160"/>
              <w:rPr/>
            </w:pPr>
            <w:r>
              <w:rPr/>
              <w:t>2015 </w:t>
            </w:r>
          </w:p>
        </w:tc>
        <w:tc>
          <w:tcPr>
            <w:tcW w:w="5233" w:type="dxa"/>
            <w:tcBorders/>
          </w:tcPr>
          <w:p>
            <w:pPr>
              <w:pStyle w:val="Normal"/>
              <w:spacing w:lineRule="auto" w:line="240" w:before="0" w:after="160"/>
              <w:rPr/>
            </w:pPr>
            <w:r>
              <w:rPr>
                <w:b/>
                <w:bCs/>
              </w:rPr>
              <w:t>DUT de chimie</w:t>
            </w:r>
            <w:r>
              <w:rPr/>
              <w:t xml:space="preserve"> (option analytique), IUT du Mans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>
          <w:color w:val="FF0000"/>
        </w:rPr>
      </w:pPr>
      <w:r>
        <w:rPr>
          <w:color w:val="FF0000"/>
        </w:rPr>
      </w:r>
      <w:r>
        <w:br w:type="page"/>
      </w:r>
    </w:p>
    <w:p>
      <w:pPr>
        <w:pStyle w:val="BodyText"/>
        <w:spacing w:before="0" w:after="140"/>
        <w:rPr/>
      </w:pPr>
      <w:r>
        <w:rPr/>
        <w:t>Expériences Professionnelles</w:t>
      </w:r>
    </w:p>
    <w:tbl>
      <w:tblPr>
        <w:tblW w:w="10573" w:type="dxa"/>
        <w:jc w:val="left"/>
        <w:tblInd w:w="2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6885"/>
        <w:gridCol w:w="3687"/>
      </w:tblGrid>
      <w:tr>
        <w:trPr>
          <w:trHeight w:val="239" w:hRule="atLeast"/>
        </w:trPr>
        <w:tc>
          <w:tcPr>
            <w:tcW w:w="6885" w:type="dxa"/>
            <w:tcBorders/>
            <w:shd w:color="auto" w:fill="auto" w:val="clear"/>
          </w:tcPr>
          <w:p>
            <w:pPr>
              <w:pStyle w:val="TableParagraph"/>
              <w:spacing w:before="0" w:after="0"/>
              <w:ind w:left="0"/>
              <w:rPr>
                <w:rFonts w:ascii="Georgia" w:hAnsi="Georgia"/>
                <w:sz w:val="40"/>
              </w:rPr>
            </w:pPr>
            <w:r>
              <w:rPr>
                <w:rFonts w:ascii="Georgia" w:hAnsi="Georgia"/>
                <w:color w:val="808080"/>
                <w:w w:val="105"/>
                <w:sz w:val="36"/>
                <w:szCs w:val="20"/>
              </w:rPr>
              <w:t>ABF Décisions, Tours</w:t>
            </w:r>
          </w:p>
        </w:tc>
        <w:tc>
          <w:tcPr>
            <w:tcW w:w="3687" w:type="dxa"/>
            <w:tcBorders/>
            <w:shd w:color="auto" w:fill="auto" w:val="clear"/>
          </w:tcPr>
          <w:p>
            <w:pPr>
              <w:pStyle w:val="TableParagraph"/>
              <w:spacing w:lineRule="exact" w:line="268"/>
              <w:ind w:left="1285"/>
              <w:rPr>
                <w:b/>
                <w:i/>
                <w:i/>
                <w:sz w:val="24"/>
              </w:rPr>
            </w:pPr>
            <w:r>
              <w:rPr>
                <w:b/>
                <w:i/>
                <w:color w:val="808080"/>
                <w:sz w:val="24"/>
              </w:rPr>
              <w:t>02/2023 – 04/2023</w:t>
            </w:r>
          </w:p>
        </w:tc>
      </w:tr>
      <w:tr>
        <w:trPr>
          <w:trHeight w:val="430" w:hRule="atLeast"/>
        </w:trPr>
        <w:tc>
          <w:tcPr>
            <w:tcW w:w="1057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TableParagraph"/>
              <w:tabs>
                <w:tab w:val="clear" w:pos="708"/>
                <w:tab w:val="left" w:pos="9700" w:leader="none"/>
              </w:tabs>
              <w:spacing w:lineRule="exact" w:line="256" w:before="154" w:after="0"/>
              <w:ind w:left="77"/>
              <w:rPr>
                <w:b/>
                <w:sz w:val="24"/>
              </w:rPr>
            </w:pPr>
            <w:r>
              <w:rPr>
                <w:b/>
                <w:sz w:val="24"/>
              </w:rPr>
              <w:t>Consultante scientifique en financement de l’innovation</w:t>
            </w:r>
          </w:p>
        </w:tc>
      </w:tr>
    </w:tbl>
    <w:p>
      <w:pPr>
        <w:pStyle w:val="Normal"/>
        <w:widowControl w:val="false"/>
        <w:tabs>
          <w:tab w:val="clear" w:pos="708"/>
          <w:tab w:val="left" w:pos="2171" w:leader="none"/>
          <w:tab w:val="left" w:pos="2172" w:leader="none"/>
        </w:tabs>
        <w:spacing w:lineRule="exact" w:line="265" w:before="0" w:after="0"/>
        <w:jc w:val="left"/>
        <w:rPr>
          <w:sz w:val="21"/>
        </w:rPr>
      </w:pPr>
      <w:r>
        <w:rPr>
          <w:sz w:val="21"/>
        </w:rPr>
      </w:r>
    </w:p>
    <w:p>
      <w:pPr>
        <w:pStyle w:val="Normal"/>
        <w:widowControl w:val="false"/>
        <w:tabs>
          <w:tab w:val="clear" w:pos="708"/>
          <w:tab w:val="left" w:pos="2171" w:leader="none"/>
          <w:tab w:val="left" w:pos="2172" w:leader="none"/>
        </w:tabs>
        <w:spacing w:lineRule="exact" w:line="265" w:before="0" w:after="0"/>
        <w:jc w:val="left"/>
        <w:rPr>
          <w:sz w:val="21"/>
        </w:rPr>
      </w:pPr>
      <w:r>
        <w:rPr>
          <w:sz w:val="21"/>
        </w:rPr>
        <w:t>Chargée d’évaluer l’éligibilité et la viabilité financière des projets de recherche en aides fiscales (CIR, CII)</w:t>
      </w:r>
    </w:p>
    <w:p>
      <w:pPr>
        <w:pStyle w:val="Normal"/>
        <w:widowControl w:val="false"/>
        <w:tabs>
          <w:tab w:val="clear" w:pos="708"/>
          <w:tab w:val="left" w:pos="2171" w:leader="none"/>
          <w:tab w:val="left" w:pos="2172" w:leader="none"/>
        </w:tabs>
        <w:spacing w:lineRule="exact" w:line="265" w:before="0" w:after="0"/>
        <w:jc w:val="left"/>
        <w:rPr>
          <w:sz w:val="21"/>
        </w:rPr>
      </w:pPr>
      <w:r>
        <w:rPr>
          <w:sz w:val="21"/>
        </w:rPr>
      </w:r>
    </w:p>
    <w:p>
      <w:pPr>
        <w:pStyle w:val="Heading3"/>
        <w:numPr>
          <w:ilvl w:val="0"/>
          <w:numId w:val="2"/>
        </w:numPr>
        <w:spacing w:lineRule="auto" w:line="240" w:before="0" w:after="0"/>
        <w:contextualSpacing/>
        <w:rPr/>
      </w:pPr>
      <w:r>
        <w:rPr/>
        <w:t>Etude technique et financière :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Priorisation et organisation des tâches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Etude des documents techniques et rapports de projet des clients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Traitement des données financières et chiffrage du projet (matériels, personnels, sous-traitant)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Réalisation d’audits techniques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Présentations clients</w:t>
      </w:r>
    </w:p>
    <w:p>
      <w:pPr>
        <w:pStyle w:val="Normal"/>
        <w:widowControl w:val="false"/>
        <w:tabs>
          <w:tab w:val="clear" w:pos="708"/>
          <w:tab w:val="left" w:pos="2171" w:leader="none"/>
          <w:tab w:val="left" w:pos="2172" w:leader="none"/>
        </w:tabs>
        <w:spacing w:lineRule="exact" w:line="265" w:before="0" w:after="0"/>
        <w:jc w:val="left"/>
        <w:rPr>
          <w:sz w:val="21"/>
        </w:rPr>
      </w:pPr>
      <w:r>
        <w:rPr>
          <w:sz w:val="21"/>
        </w:rPr>
      </w:r>
    </w:p>
    <w:p>
      <w:pPr>
        <w:pStyle w:val="Normal"/>
        <w:widowControl w:val="false"/>
        <w:tabs>
          <w:tab w:val="clear" w:pos="708"/>
          <w:tab w:val="left" w:pos="2171" w:leader="none"/>
          <w:tab w:val="left" w:pos="2172" w:leader="none"/>
        </w:tabs>
        <w:spacing w:lineRule="exact" w:line="265" w:before="0" w:after="0"/>
        <w:jc w:val="left"/>
        <w:rPr>
          <w:sz w:val="21"/>
        </w:rPr>
      </w:pPr>
      <w:r>
        <w:rPr>
          <w:sz w:val="21"/>
        </w:rPr>
      </w:r>
    </w:p>
    <w:tbl>
      <w:tblPr>
        <w:tblW w:w="10573" w:type="dxa"/>
        <w:jc w:val="left"/>
        <w:tblInd w:w="2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6885"/>
        <w:gridCol w:w="3687"/>
      </w:tblGrid>
      <w:tr>
        <w:trPr>
          <w:trHeight w:val="239" w:hRule="atLeast"/>
        </w:trPr>
        <w:tc>
          <w:tcPr>
            <w:tcW w:w="6885" w:type="dxa"/>
            <w:tcBorders/>
            <w:shd w:color="auto" w:fill="auto" w:val="clear"/>
          </w:tcPr>
          <w:p>
            <w:pPr>
              <w:pStyle w:val="TableParagraph"/>
              <w:spacing w:before="52" w:after="0"/>
              <w:ind w:left="0"/>
              <w:rPr>
                <w:rFonts w:ascii="Georgia" w:hAnsi="Georgia"/>
                <w:sz w:val="40"/>
              </w:rPr>
            </w:pPr>
            <w:r>
              <w:rPr>
                <w:rFonts w:ascii="Georgia" w:hAnsi="Georgia"/>
                <w:color w:val="808080"/>
                <w:w w:val="105"/>
                <w:sz w:val="36"/>
                <w:szCs w:val="20"/>
              </w:rPr>
              <w:t>Laboratoire MOLTECH-Anjou, Angers</w:t>
            </w:r>
          </w:p>
        </w:tc>
        <w:tc>
          <w:tcPr>
            <w:tcW w:w="3687" w:type="dxa"/>
            <w:tcBorders/>
            <w:shd w:color="auto" w:fill="auto" w:val="clear"/>
          </w:tcPr>
          <w:p>
            <w:pPr>
              <w:pStyle w:val="TableParagraph"/>
              <w:spacing w:lineRule="exact" w:line="268"/>
              <w:ind w:left="1285"/>
              <w:rPr>
                <w:b/>
                <w:i/>
                <w:i/>
                <w:sz w:val="24"/>
              </w:rPr>
            </w:pPr>
            <w:r>
              <w:rPr>
                <w:b/>
                <w:i/>
                <w:color w:val="808080"/>
                <w:sz w:val="24"/>
              </w:rPr>
              <w:t>10/2018 - 12/2021</w:t>
            </w:r>
          </w:p>
        </w:tc>
      </w:tr>
      <w:tr>
        <w:trPr>
          <w:trHeight w:val="430" w:hRule="atLeast"/>
        </w:trPr>
        <w:tc>
          <w:tcPr>
            <w:tcW w:w="1057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TableParagraph"/>
              <w:tabs>
                <w:tab w:val="clear" w:pos="708"/>
                <w:tab w:val="left" w:pos="9700" w:leader="none"/>
              </w:tabs>
              <w:spacing w:lineRule="exact" w:line="256" w:before="154" w:after="0"/>
              <w:ind w:left="77"/>
              <w:rPr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Ingénieure électrochimie, thèse</w:t>
            </w:r>
          </w:p>
        </w:tc>
      </w:tr>
    </w:tbl>
    <w:p>
      <w:pPr>
        <w:pStyle w:val="Normal"/>
        <w:rPr>
          <w:sz w:val="24"/>
          <w:szCs w:val="28"/>
        </w:rPr>
      </w:pPr>
      <w:r>
        <w:rPr>
          <w:sz w:val="24"/>
          <w:szCs w:val="28"/>
        </w:rPr>
        <w:br/>
      </w:r>
      <w:r>
        <w:rPr>
          <w:sz w:val="20"/>
          <w:szCs w:val="22"/>
        </w:rPr>
        <w:t xml:space="preserve">    Étude et contrôle de la formation de nanofilms organiques sur électrodes de travail</w:t>
      </w:r>
    </w:p>
    <w:p>
      <w:pPr>
        <w:pStyle w:val="Heading3"/>
        <w:numPr>
          <w:ilvl w:val="0"/>
          <w:numId w:val="2"/>
        </w:numPr>
        <w:spacing w:lineRule="auto" w:line="240" w:before="0" w:after="0"/>
        <w:contextualSpacing w:val="false"/>
        <w:rPr/>
      </w:pPr>
      <w:r>
        <w:rPr/>
        <w:t>Gestion de projet :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Analyse du cahier des charges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b/>
          <w:bCs/>
          <w:sz w:val="21"/>
        </w:rPr>
      </w:pPr>
      <w:r>
        <w:rPr>
          <w:b/>
          <w:bCs/>
          <w:sz w:val="21"/>
        </w:rPr>
        <w:t>Pilotage de projets et priorisations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b/>
          <w:bCs/>
          <w:sz w:val="21"/>
        </w:rPr>
      </w:pPr>
      <w:r>
        <w:rPr>
          <w:b/>
          <w:bCs/>
          <w:sz w:val="21"/>
        </w:rPr>
        <w:t>Rédaction et rendu de livrables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Collaboration avec des équipes pluridisciplinaires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Gestion du laboratoire, des réactifs et des consommables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b/>
          <w:bCs/>
          <w:sz w:val="21"/>
        </w:rPr>
      </w:pPr>
      <w:r>
        <w:rPr>
          <w:b/>
          <w:bCs/>
          <w:sz w:val="21"/>
        </w:rPr>
        <w:t>Présentation des résultats (français et anglais)</w:t>
      </w:r>
    </w:p>
    <w:p>
      <w:pPr>
        <w:pStyle w:val="Heading3"/>
        <w:numPr>
          <w:ilvl w:val="0"/>
          <w:numId w:val="2"/>
        </w:numPr>
        <w:spacing w:lineRule="auto" w:line="240" w:before="0" w:after="0"/>
        <w:contextualSpacing w:val="false"/>
        <w:rPr/>
      </w:pPr>
      <w:r>
        <w:rPr/>
        <w:t>Caractérisation électrodes :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 xml:space="preserve">Synthèses et caractérisations optiques, chimiques, électrochimiques 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Etude des comportements sous conditions atmosphériques et inertes 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b/>
          <w:bCs/>
          <w:sz w:val="21"/>
        </w:rPr>
        <w:t>Modification des surfaces d’électrodes</w:t>
      </w:r>
      <w:r>
        <w:rPr>
          <w:sz w:val="21"/>
        </w:rPr>
        <w:t> :</w:t>
      </w:r>
    </w:p>
    <w:p>
      <w:pPr>
        <w:pStyle w:val="ListParagraph"/>
        <w:widowControl w:val="false"/>
        <w:numPr>
          <w:ilvl w:val="2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 xml:space="preserve">Voie électrochimique (CV et CA) </w:t>
      </w:r>
    </w:p>
    <w:p>
      <w:pPr>
        <w:pStyle w:val="ListParagraph"/>
        <w:widowControl w:val="false"/>
        <w:numPr>
          <w:ilvl w:val="2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Voie chimique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Fabrication et optimisation de surfaces PPF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Spectroélectrochimie d’absorption et d’émission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AFM, DRX, XPS, UV-visible, RMN, FTIR, MS</w:t>
      </w:r>
    </w:p>
    <w:p>
      <w:pPr>
        <w:pStyle w:val="Heading3"/>
        <w:numPr>
          <w:ilvl w:val="0"/>
          <w:numId w:val="2"/>
        </w:numPr>
        <w:spacing w:lineRule="auto" w:line="240" w:before="0" w:after="0"/>
        <w:contextualSpacing w:val="false"/>
        <w:rPr/>
      </w:pPr>
      <w:r>
        <w:rPr/>
        <w:t>Essais électrochimiques :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Mise en place d’essais :</w:t>
      </w:r>
    </w:p>
    <w:p>
      <w:pPr>
        <w:pStyle w:val="ListParagraph"/>
        <w:widowControl w:val="false"/>
        <w:numPr>
          <w:ilvl w:val="2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b/>
          <w:bCs/>
          <w:sz w:val="21"/>
        </w:rPr>
      </w:pPr>
      <w:r>
        <w:rPr>
          <w:b/>
          <w:bCs/>
          <w:sz w:val="21"/>
        </w:rPr>
        <w:t>Voltampérométrie cyclique</w:t>
      </w:r>
    </w:p>
    <w:p>
      <w:pPr>
        <w:pStyle w:val="ListParagraph"/>
        <w:widowControl w:val="false"/>
        <w:numPr>
          <w:ilvl w:val="2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b/>
          <w:bCs/>
          <w:sz w:val="21"/>
        </w:rPr>
      </w:pPr>
      <w:r>
        <w:rPr>
          <w:b/>
          <w:bCs/>
          <w:sz w:val="21"/>
        </w:rPr>
        <w:t>Chronoampérométrie</w:t>
      </w:r>
    </w:p>
    <w:p>
      <w:pPr>
        <w:pStyle w:val="ListParagraph"/>
        <w:widowControl w:val="false"/>
        <w:numPr>
          <w:ilvl w:val="2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b/>
          <w:bCs/>
          <w:sz w:val="21"/>
        </w:rPr>
      </w:pPr>
      <w:r>
        <w:rPr>
          <w:b/>
          <w:bCs/>
          <w:sz w:val="21"/>
        </w:rPr>
        <w:t>Charge/décharge galvanostatique</w:t>
      </w:r>
    </w:p>
    <w:p>
      <w:pPr>
        <w:pStyle w:val="ListParagraph"/>
        <w:widowControl w:val="false"/>
        <w:numPr>
          <w:ilvl w:val="2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b/>
          <w:bCs/>
          <w:sz w:val="21"/>
        </w:rPr>
      </w:pPr>
      <w:r>
        <w:rPr>
          <w:b/>
          <w:bCs/>
          <w:sz w:val="21"/>
        </w:rPr>
        <w:t>Spectroscopie d’impédance électrochimique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 xml:space="preserve">Etude de l’influence de l’électrolyte et des solvants 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Analyse de résultats</w:t>
      </w:r>
    </w:p>
    <w:p>
      <w:pPr>
        <w:pStyle w:val="Heading3"/>
        <w:numPr>
          <w:ilvl w:val="0"/>
          <w:numId w:val="2"/>
        </w:numPr>
        <w:spacing w:lineRule="auto" w:line="240" w:before="0" w:after="0"/>
        <w:contextualSpacing w:val="false"/>
        <w:rPr/>
      </w:pPr>
      <w:r>
        <w:rPr/>
        <w:t>Validation :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Organisation/planification des tâches dans les délais impartis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Compréhension des résultats et détection d’anomalies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Mise en place de solutions correctives si besoin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Corrélation résultats d’analyses / spécifications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Rédaction documentations de validation</w:t>
      </w:r>
    </w:p>
    <w:p>
      <w:pPr>
        <w:pStyle w:val="Normal"/>
        <w:widowControl w:val="false"/>
        <w:tabs>
          <w:tab w:val="clear" w:pos="708"/>
          <w:tab w:val="left" w:pos="2171" w:leader="none"/>
          <w:tab w:val="left" w:pos="2172" w:leader="none"/>
        </w:tabs>
        <w:spacing w:lineRule="exact" w:line="265" w:before="0" w:after="0"/>
        <w:jc w:val="left"/>
        <w:rPr>
          <w:sz w:val="21"/>
        </w:rPr>
      </w:pPr>
      <w:r>
        <w:rPr>
          <w:sz w:val="21"/>
        </w:rPr>
      </w:r>
    </w:p>
    <w:tbl>
      <w:tblPr>
        <w:tblW w:w="10573" w:type="dxa"/>
        <w:jc w:val="left"/>
        <w:tblInd w:w="2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6885"/>
        <w:gridCol w:w="3687"/>
      </w:tblGrid>
      <w:tr>
        <w:trPr>
          <w:trHeight w:val="239" w:hRule="atLeast"/>
        </w:trPr>
        <w:tc>
          <w:tcPr>
            <w:tcW w:w="6885" w:type="dxa"/>
            <w:tcBorders/>
            <w:shd w:color="auto" w:fill="auto" w:val="clear"/>
          </w:tcPr>
          <w:p>
            <w:pPr>
              <w:pStyle w:val="TableParagraph"/>
              <w:spacing w:before="52" w:after="0"/>
              <w:rPr>
                <w:rFonts w:ascii="Georgia" w:hAnsi="Georgia"/>
                <w:sz w:val="40"/>
              </w:rPr>
            </w:pPr>
            <w:r>
              <w:rPr>
                <w:rFonts w:ascii="Georgia" w:hAnsi="Georgia"/>
                <w:color w:val="808080"/>
                <w:w w:val="105"/>
                <w:sz w:val="36"/>
                <w:szCs w:val="20"/>
              </w:rPr>
              <w:t>Laboratoire MOLTECH-Anjou, Angers</w:t>
            </w:r>
          </w:p>
        </w:tc>
        <w:tc>
          <w:tcPr>
            <w:tcW w:w="3687" w:type="dxa"/>
            <w:tcBorders/>
            <w:shd w:color="auto" w:fill="auto" w:val="clear"/>
          </w:tcPr>
          <w:p>
            <w:pPr>
              <w:pStyle w:val="TableParagraph"/>
              <w:spacing w:lineRule="exact" w:line="268"/>
              <w:ind w:left="1285"/>
              <w:jc w:val="center"/>
              <w:rPr>
                <w:b/>
                <w:i/>
                <w:i/>
                <w:sz w:val="24"/>
              </w:rPr>
            </w:pPr>
            <w:r>
              <w:rPr>
                <w:b/>
                <w:i/>
                <w:color w:val="808080"/>
                <w:sz w:val="24"/>
              </w:rPr>
              <w:t>02 - 06/2018</w:t>
            </w:r>
          </w:p>
        </w:tc>
      </w:tr>
      <w:tr>
        <w:trPr>
          <w:trHeight w:val="430" w:hRule="atLeast"/>
        </w:trPr>
        <w:tc>
          <w:tcPr>
            <w:tcW w:w="1057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TableParagraph"/>
              <w:tabs>
                <w:tab w:val="clear" w:pos="708"/>
                <w:tab w:val="left" w:pos="9700" w:leader="none"/>
              </w:tabs>
              <w:spacing w:lineRule="exact" w:line="256" w:before="154" w:after="0"/>
              <w:ind w:left="77"/>
              <w:rPr>
                <w:b/>
                <w:sz w:val="24"/>
              </w:rPr>
            </w:pPr>
            <w:r>
              <w:rPr>
                <w:b/>
                <w:sz w:val="24"/>
              </w:rPr>
              <w:t>Ingénieure électrochimie, stage</w:t>
            </w:r>
          </w:p>
        </w:tc>
      </w:tr>
    </w:tbl>
    <w:p>
      <w:pPr>
        <w:pStyle w:val="Normal"/>
        <w:rPr>
          <w:sz w:val="20"/>
          <w:szCs w:val="22"/>
        </w:rPr>
      </w:pPr>
      <w:r>
        <w:rPr>
          <w:sz w:val="20"/>
          <w:szCs w:val="22"/>
        </w:rPr>
        <w:br/>
        <w:t>Modification de surface et mise en évidence d’une nouvelle méthode de contrôle de formation des films organiques</w:t>
      </w:r>
    </w:p>
    <w:p>
      <w:pPr>
        <w:pStyle w:val="Heading3"/>
        <w:numPr>
          <w:ilvl w:val="0"/>
          <w:numId w:val="2"/>
        </w:numPr>
        <w:spacing w:lineRule="auto" w:line="240" w:before="0" w:after="0"/>
        <w:contextualSpacing w:val="false"/>
        <w:rPr/>
      </w:pPr>
      <w:r>
        <w:rPr/>
        <w:t>Etudes électrochimiques :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Etat de l’art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Analyse de cahier des charges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Synthèse de dérivés de pérylène diimide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Caractérisation des propriétés optiques, chimiques et électrochimiques des composés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Modification et caractérisation de surfaces par électrochimie (CV, CA, EIS)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Etude de l’influence du dioxygène sur l’électrogreffage d’espèces diazonium sur surfaces de carbone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Interprétation et présentation des données et résultats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Rédaction de compte rendu</w:t>
      </w:r>
    </w:p>
    <w:p>
      <w:pPr>
        <w:pStyle w:val="Heading3"/>
        <w:numPr>
          <w:ilvl w:val="0"/>
          <w:numId w:val="2"/>
        </w:numPr>
        <w:spacing w:lineRule="auto" w:line="240" w:before="0" w:after="0"/>
        <w:contextualSpacing w:val="false"/>
        <w:rPr/>
      </w:pPr>
      <w:r>
        <w:rPr/>
        <w:t>Méthodes utilisées :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Modification et caractérisation sous conditions atmosphériques et inertes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UV-visible, RMN, MS, spectroélectrochimie, microbalance à cristal de quartz, AFM</w:t>
      </w:r>
    </w:p>
    <w:p>
      <w:pPr>
        <w:pStyle w:val="Normal"/>
        <w:widowControl w:val="false"/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jc w:val="left"/>
        <w:rPr>
          <w:sz w:val="21"/>
        </w:rPr>
      </w:pPr>
      <w:r>
        <w:rPr>
          <w:sz w:val="21"/>
        </w:rPr>
      </w:r>
    </w:p>
    <w:p>
      <w:pPr>
        <w:pStyle w:val="Normal"/>
        <w:widowControl w:val="false"/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jc w:val="left"/>
        <w:rPr>
          <w:sz w:val="21"/>
        </w:rPr>
      </w:pPr>
      <w:r>
        <w:rPr>
          <w:sz w:val="21"/>
        </w:rPr>
      </w:r>
    </w:p>
    <w:tbl>
      <w:tblPr>
        <w:tblW w:w="10573" w:type="dxa"/>
        <w:jc w:val="left"/>
        <w:tblInd w:w="2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6885"/>
        <w:gridCol w:w="3687"/>
      </w:tblGrid>
      <w:tr>
        <w:trPr>
          <w:trHeight w:val="239" w:hRule="atLeast"/>
        </w:trPr>
        <w:tc>
          <w:tcPr>
            <w:tcW w:w="6885" w:type="dxa"/>
            <w:tcBorders/>
            <w:shd w:color="auto" w:fill="auto" w:val="clear"/>
          </w:tcPr>
          <w:p>
            <w:pPr>
              <w:pStyle w:val="TableParagraph"/>
              <w:spacing w:before="52" w:after="0"/>
              <w:rPr>
                <w:rFonts w:ascii="Georgia" w:hAnsi="Georgia"/>
                <w:sz w:val="40"/>
              </w:rPr>
            </w:pPr>
            <w:r>
              <w:rPr>
                <w:rFonts w:ascii="Georgia" w:hAnsi="Georgia"/>
                <w:color w:val="808080"/>
                <w:w w:val="105"/>
                <w:sz w:val="36"/>
                <w:szCs w:val="20"/>
              </w:rPr>
              <w:t>Université de Montréal, Canada</w:t>
            </w:r>
          </w:p>
        </w:tc>
        <w:tc>
          <w:tcPr>
            <w:tcW w:w="3687" w:type="dxa"/>
            <w:tcBorders/>
            <w:shd w:color="auto" w:fill="auto" w:val="clear"/>
          </w:tcPr>
          <w:p>
            <w:pPr>
              <w:pStyle w:val="TableParagraph"/>
              <w:spacing w:lineRule="exact" w:line="268"/>
              <w:ind w:left="1285"/>
              <w:jc w:val="center"/>
              <w:rPr>
                <w:b/>
                <w:i/>
                <w:i/>
                <w:sz w:val="24"/>
              </w:rPr>
            </w:pPr>
            <w:r>
              <w:rPr>
                <w:b/>
                <w:i/>
                <w:color w:val="808080"/>
                <w:sz w:val="24"/>
              </w:rPr>
              <w:t>03 - 08/2017</w:t>
            </w:r>
          </w:p>
        </w:tc>
      </w:tr>
      <w:tr>
        <w:trPr>
          <w:trHeight w:val="430" w:hRule="atLeast"/>
        </w:trPr>
        <w:tc>
          <w:tcPr>
            <w:tcW w:w="1057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TableParagraph"/>
              <w:tabs>
                <w:tab w:val="clear" w:pos="708"/>
                <w:tab w:val="left" w:pos="9700" w:leader="none"/>
              </w:tabs>
              <w:spacing w:lineRule="exact" w:line="256" w:before="154" w:after="0"/>
              <w:ind w:left="7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</w:t>
            </w:r>
            <w:r>
              <w:rPr>
                <w:b/>
                <w:sz w:val="24"/>
              </w:rPr>
              <w:t>Ingénieure chimiste, stage</w:t>
            </w:r>
          </w:p>
        </w:tc>
      </w:tr>
    </w:tbl>
    <w:p>
      <w:pPr>
        <w:pStyle w:val="Normal"/>
        <w:rPr>
          <w:sz w:val="20"/>
          <w:szCs w:val="22"/>
        </w:rPr>
      </w:pPr>
      <w:r>
        <w:rPr>
          <w:sz w:val="20"/>
          <w:szCs w:val="22"/>
        </w:rPr>
        <w:br/>
        <w:t xml:space="preserve">Formulation de monomères pour dispositifs éléctrochromes </w:t>
      </w:r>
    </w:p>
    <w:p>
      <w:pPr>
        <w:pStyle w:val="Heading3"/>
        <w:numPr>
          <w:ilvl w:val="0"/>
          <w:numId w:val="2"/>
        </w:numPr>
        <w:spacing w:lineRule="auto" w:line="240" w:before="0" w:after="0"/>
        <w:contextualSpacing w:val="false"/>
        <w:rPr/>
      </w:pPr>
      <w:r>
        <w:rPr/>
        <w:t>Technique :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Recherche, analyse et synthèse des besoins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Formulation de monomères organique à base de triphénylamine et benzothiadiazole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Interprétation des données et résultats.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4"/>
        </w:rPr>
      </w:pPr>
      <w:r>
        <w:rPr>
          <w:sz w:val="21"/>
        </w:rPr>
        <w:t>Rédaction de compte rendu en anglais</w:t>
      </w:r>
    </w:p>
    <w:p>
      <w:pPr>
        <w:pStyle w:val="Heading3"/>
        <w:numPr>
          <w:ilvl w:val="0"/>
          <w:numId w:val="2"/>
        </w:numPr>
        <w:spacing w:lineRule="auto" w:line="240" w:before="0" w:after="0"/>
        <w:contextualSpacing w:val="false"/>
        <w:rPr/>
      </w:pPr>
      <w:r>
        <w:rPr/>
        <w:t>Méthodes utilisées :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Synthèse en conditions atmosphériques ou inertes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Optimisation des paramètres réactionnels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UV-visible, RMN, MS</w:t>
      </w:r>
    </w:p>
    <w:p>
      <w:pPr>
        <w:pStyle w:val="ListParagraph"/>
        <w:widowControl w:val="false"/>
        <w:tabs>
          <w:tab w:val="clear" w:pos="708"/>
          <w:tab w:val="left" w:pos="2171" w:leader="none"/>
          <w:tab w:val="left" w:pos="2172" w:leader="none"/>
        </w:tabs>
        <w:spacing w:lineRule="exact" w:line="265" w:before="0" w:after="0"/>
        <w:ind w:left="2171"/>
        <w:contextualSpacing w:val="false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widowControl w:val="false"/>
        <w:tabs>
          <w:tab w:val="clear" w:pos="708"/>
          <w:tab w:val="left" w:pos="2171" w:leader="none"/>
          <w:tab w:val="left" w:pos="2172" w:leader="none"/>
        </w:tabs>
        <w:spacing w:lineRule="exact" w:line="265" w:before="0" w:after="0"/>
        <w:ind w:left="2171"/>
        <w:contextualSpacing w:val="false"/>
        <w:jc w:val="left"/>
        <w:rPr>
          <w:sz w:val="24"/>
        </w:rPr>
      </w:pPr>
      <w:r>
        <w:rPr>
          <w:sz w:val="24"/>
        </w:rPr>
      </w:r>
    </w:p>
    <w:tbl>
      <w:tblPr>
        <w:tblW w:w="10573" w:type="dxa"/>
        <w:jc w:val="left"/>
        <w:tblInd w:w="2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6885"/>
        <w:gridCol w:w="3687"/>
      </w:tblGrid>
      <w:tr>
        <w:trPr>
          <w:trHeight w:val="239" w:hRule="atLeast"/>
        </w:trPr>
        <w:tc>
          <w:tcPr>
            <w:tcW w:w="6885" w:type="dxa"/>
            <w:tcBorders/>
            <w:shd w:color="auto" w:fill="auto" w:val="clear"/>
          </w:tcPr>
          <w:p>
            <w:pPr>
              <w:pStyle w:val="TableParagraph"/>
              <w:spacing w:before="52" w:after="0"/>
              <w:rPr>
                <w:rFonts w:ascii="Georgia" w:hAnsi="Georgia"/>
                <w:sz w:val="40"/>
              </w:rPr>
            </w:pPr>
            <w:r>
              <w:rPr>
                <w:rFonts w:ascii="Georgia" w:hAnsi="Georgia"/>
                <w:color w:val="808080"/>
                <w:w w:val="105"/>
                <w:sz w:val="36"/>
                <w:szCs w:val="20"/>
              </w:rPr>
              <w:t>Laboratoire MOLTECH-Anjou, Angers</w:t>
            </w:r>
          </w:p>
        </w:tc>
        <w:tc>
          <w:tcPr>
            <w:tcW w:w="3687" w:type="dxa"/>
            <w:tcBorders/>
            <w:shd w:color="auto" w:fill="auto" w:val="clear"/>
          </w:tcPr>
          <w:p>
            <w:pPr>
              <w:pStyle w:val="TableParagraph"/>
              <w:spacing w:lineRule="exact" w:line="268"/>
              <w:ind w:left="1285"/>
              <w:jc w:val="center"/>
              <w:rPr>
                <w:b/>
                <w:i/>
                <w:i/>
                <w:sz w:val="24"/>
              </w:rPr>
            </w:pPr>
            <w:r>
              <w:rPr>
                <w:b/>
                <w:i/>
                <w:color w:val="808080"/>
                <w:sz w:val="24"/>
              </w:rPr>
              <w:t>04 - 06/2016</w:t>
            </w:r>
          </w:p>
        </w:tc>
      </w:tr>
      <w:tr>
        <w:trPr>
          <w:trHeight w:val="430" w:hRule="atLeast"/>
        </w:trPr>
        <w:tc>
          <w:tcPr>
            <w:tcW w:w="1057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TableParagraph"/>
              <w:tabs>
                <w:tab w:val="clear" w:pos="708"/>
                <w:tab w:val="left" w:pos="9700" w:leader="none"/>
              </w:tabs>
              <w:spacing w:lineRule="exact" w:line="256" w:before="154" w:after="0"/>
              <w:ind w:left="77"/>
              <w:rPr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Technicienne chimiste, stage</w:t>
            </w:r>
          </w:p>
        </w:tc>
      </w:tr>
    </w:tbl>
    <w:p>
      <w:pPr>
        <w:pStyle w:val="Normal"/>
        <w:rPr>
          <w:sz w:val="20"/>
          <w:szCs w:val="22"/>
        </w:rPr>
      </w:pPr>
      <w:r>
        <w:rPr>
          <w:sz w:val="20"/>
          <w:szCs w:val="22"/>
        </w:rPr>
        <w:br/>
        <w:t>Développement de composés pour matériaux organiques semi-conducteurs via la chimie verte</w:t>
      </w:r>
    </w:p>
    <w:p>
      <w:pPr>
        <w:pStyle w:val="Heading3"/>
        <w:numPr>
          <w:ilvl w:val="0"/>
          <w:numId w:val="2"/>
        </w:numPr>
        <w:spacing w:lineRule="auto" w:line="240" w:before="0" w:after="0"/>
        <w:contextualSpacing w:val="false"/>
        <w:rPr/>
      </w:pPr>
      <w:r>
        <w:rPr/>
        <w:t>Etude projet :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Etat de l’art sur le sujet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Suivi d’avancement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Interprétation des données et résultats.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Rédaction de compte rendu</w:t>
      </w:r>
    </w:p>
    <w:p>
      <w:pPr>
        <w:pStyle w:val="Heading3"/>
        <w:numPr>
          <w:ilvl w:val="0"/>
          <w:numId w:val="2"/>
        </w:numPr>
        <w:spacing w:lineRule="auto" w:line="240" w:before="0" w:after="0"/>
        <w:contextualSpacing w:val="false"/>
        <w:rPr/>
      </w:pPr>
      <w:r>
        <w:rPr/>
        <w:t>Technique :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Synthèse de dérivés de furane à partir de composés issus de la biomasse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Caractérisation des propriétés chimiques et optiques des composés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Etude de l’influence des groupements sur les propriétés optiques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Synthèse au micro-onde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Spectroscopie d’absorption et d’émission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RMN, MS, DRX</w:t>
      </w:r>
    </w:p>
    <w:p>
      <w:pPr>
        <w:pStyle w:val="Normal"/>
        <w:widowControl w:val="false"/>
        <w:tabs>
          <w:tab w:val="clear" w:pos="708"/>
          <w:tab w:val="left" w:pos="2171" w:leader="none"/>
          <w:tab w:val="left" w:pos="2172" w:leader="none"/>
        </w:tabs>
        <w:spacing w:lineRule="exact" w:line="265" w:before="0" w:after="0"/>
        <w:jc w:val="left"/>
        <w:rPr>
          <w:sz w:val="21"/>
        </w:rPr>
      </w:pPr>
      <w:r>
        <w:rPr>
          <w:sz w:val="21"/>
        </w:rPr>
      </w:r>
    </w:p>
    <w:p>
      <w:pPr>
        <w:pStyle w:val="Normal"/>
        <w:widowControl w:val="false"/>
        <w:tabs>
          <w:tab w:val="clear" w:pos="708"/>
          <w:tab w:val="left" w:pos="2171" w:leader="none"/>
          <w:tab w:val="left" w:pos="2172" w:leader="none"/>
        </w:tabs>
        <w:spacing w:lineRule="exact" w:line="265" w:before="0" w:after="0"/>
        <w:jc w:val="left"/>
        <w:rPr>
          <w:sz w:val="21"/>
        </w:rPr>
      </w:pPr>
      <w:r>
        <w:rPr>
          <w:sz w:val="21"/>
        </w:rPr>
      </w:r>
    </w:p>
    <w:tbl>
      <w:tblPr>
        <w:tblW w:w="10573" w:type="dxa"/>
        <w:jc w:val="left"/>
        <w:tblInd w:w="2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6885"/>
        <w:gridCol w:w="3687"/>
      </w:tblGrid>
      <w:tr>
        <w:trPr>
          <w:trHeight w:val="239" w:hRule="atLeast"/>
        </w:trPr>
        <w:tc>
          <w:tcPr>
            <w:tcW w:w="6885" w:type="dxa"/>
            <w:tcBorders/>
            <w:shd w:color="auto" w:fill="auto" w:val="clear"/>
          </w:tcPr>
          <w:p>
            <w:pPr>
              <w:pStyle w:val="TableParagraph"/>
              <w:spacing w:before="52" w:after="0"/>
              <w:rPr>
                <w:rFonts w:ascii="Georgia" w:hAnsi="Georgia"/>
                <w:sz w:val="40"/>
              </w:rPr>
            </w:pPr>
            <w:r>
              <w:rPr>
                <w:rFonts w:ascii="Georgia" w:hAnsi="Georgia"/>
                <w:color w:val="808080"/>
                <w:w w:val="105"/>
                <w:sz w:val="36"/>
                <w:szCs w:val="20"/>
              </w:rPr>
              <w:t>Institut des matériaux Jean Rouxel, Nantes</w:t>
            </w:r>
          </w:p>
        </w:tc>
        <w:tc>
          <w:tcPr>
            <w:tcW w:w="3687" w:type="dxa"/>
            <w:tcBorders/>
            <w:shd w:color="auto" w:fill="auto" w:val="clear"/>
          </w:tcPr>
          <w:p>
            <w:pPr>
              <w:pStyle w:val="TableParagraph"/>
              <w:spacing w:lineRule="exact" w:line="268"/>
              <w:ind w:left="1285"/>
              <w:rPr>
                <w:b/>
                <w:i/>
                <w:i/>
                <w:sz w:val="24"/>
              </w:rPr>
            </w:pPr>
            <w:r>
              <w:rPr>
                <w:b/>
                <w:i/>
                <w:color w:val="808080"/>
                <w:sz w:val="24"/>
              </w:rPr>
              <w:t xml:space="preserve">    </w:t>
            </w:r>
            <w:r>
              <w:rPr>
                <w:b/>
                <w:i/>
                <w:color w:val="808080"/>
                <w:sz w:val="24"/>
              </w:rPr>
              <w:t>04 - 06/2015</w:t>
            </w:r>
          </w:p>
        </w:tc>
      </w:tr>
      <w:tr>
        <w:trPr>
          <w:trHeight w:val="430" w:hRule="atLeast"/>
        </w:trPr>
        <w:tc>
          <w:tcPr>
            <w:tcW w:w="1057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TableParagraph"/>
              <w:tabs>
                <w:tab w:val="clear" w:pos="708"/>
                <w:tab w:val="left" w:pos="9700" w:leader="none"/>
              </w:tabs>
              <w:spacing w:lineRule="exact" w:line="256" w:before="154" w:after="0"/>
              <w:ind w:left="77"/>
              <w:rPr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Technicienne électrochimie, stage</w:t>
            </w:r>
          </w:p>
        </w:tc>
      </w:tr>
    </w:tbl>
    <w:p>
      <w:pPr>
        <w:pStyle w:val="Normal"/>
        <w:spacing w:before="0" w:after="0"/>
        <w:rPr>
          <w:sz w:val="20"/>
          <w:szCs w:val="22"/>
        </w:rPr>
      </w:pPr>
      <w:r>
        <w:rPr>
          <w:sz w:val="20"/>
          <w:szCs w:val="22"/>
        </w:rPr>
        <w:t xml:space="preserve">    </w:t>
      </w:r>
    </w:p>
    <w:p>
      <w:pPr>
        <w:pStyle w:val="Normal"/>
        <w:spacing w:before="0" w:after="0"/>
        <w:rPr>
          <w:sz w:val="20"/>
          <w:szCs w:val="22"/>
        </w:rPr>
      </w:pPr>
      <w:r>
        <w:rPr>
          <w:sz w:val="20"/>
          <w:szCs w:val="22"/>
        </w:rPr>
        <w:t xml:space="preserve">Développement de nouveaux matériaux </w:t>
      </w:r>
      <w:r>
        <w:rPr>
          <w:b/>
          <w:bCs/>
          <w:sz w:val="20"/>
          <w:szCs w:val="22"/>
        </w:rPr>
        <w:t>d’électrode organique pour batterie Na-ion et Li-ion</w:t>
      </w:r>
    </w:p>
    <w:p>
      <w:pPr>
        <w:pStyle w:val="Heading3"/>
        <w:numPr>
          <w:ilvl w:val="0"/>
          <w:numId w:val="2"/>
        </w:numPr>
        <w:spacing w:lineRule="auto" w:line="240" w:before="0" w:after="0"/>
        <w:contextualSpacing w:val="false"/>
        <w:rPr/>
      </w:pPr>
      <w:r>
        <w:rPr/>
        <w:t>Etude projet :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exact" w:line="265" w:before="0" w:after="0"/>
        <w:contextualSpacing w:val="false"/>
        <w:jc w:val="left"/>
        <w:rPr>
          <w:sz w:val="21"/>
        </w:rPr>
      </w:pPr>
      <w:r>
        <w:rPr>
          <w:sz w:val="21"/>
        </w:rPr>
        <w:t>Recherches bibliographiques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exact" w:line="265" w:before="0" w:after="0"/>
        <w:contextualSpacing w:val="false"/>
        <w:jc w:val="left"/>
        <w:rPr>
          <w:sz w:val="21"/>
        </w:rPr>
      </w:pPr>
      <w:r>
        <w:rPr>
          <w:sz w:val="21"/>
        </w:rPr>
        <w:t>Suivi de plan de tests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exact" w:line="265" w:before="0" w:after="0"/>
        <w:contextualSpacing w:val="false"/>
        <w:jc w:val="left"/>
        <w:rPr>
          <w:sz w:val="21"/>
        </w:rPr>
      </w:pPr>
      <w:r>
        <w:rPr>
          <w:sz w:val="21"/>
        </w:rPr>
        <w:t>Analyse des résultats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exact" w:line="265" w:before="0" w:after="0"/>
        <w:contextualSpacing w:val="false"/>
        <w:jc w:val="left"/>
        <w:rPr>
          <w:sz w:val="21"/>
        </w:rPr>
      </w:pPr>
      <w:r>
        <w:rPr>
          <w:sz w:val="21"/>
        </w:rPr>
        <w:t>Documentation technique</w:t>
      </w:r>
    </w:p>
    <w:p>
      <w:pPr>
        <w:pStyle w:val="Heading3"/>
        <w:numPr>
          <w:ilvl w:val="0"/>
          <w:numId w:val="2"/>
        </w:numPr>
        <w:spacing w:lineRule="auto" w:line="240" w:before="0" w:after="0"/>
        <w:contextualSpacing w:val="false"/>
        <w:rPr/>
      </w:pPr>
      <w:r>
        <w:rPr/>
        <w:t>Electrochimie :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Synthèse et caractérisation des composés organiques à usage d’électrode positive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Synthèse en conditions atmosphériques ou inertes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b/>
          <w:bCs/>
          <w:sz w:val="21"/>
        </w:rPr>
      </w:pPr>
      <w:r>
        <w:rPr>
          <w:b/>
          <w:bCs/>
          <w:sz w:val="21"/>
        </w:rPr>
        <w:t>Montage de cellule test Swagelok en boîte à gants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b/>
          <w:bCs/>
          <w:sz w:val="21"/>
        </w:rPr>
      </w:pPr>
      <w:r>
        <w:rPr>
          <w:b/>
          <w:bCs/>
          <w:sz w:val="21"/>
        </w:rPr>
        <w:t>Cycle charge/décharge galvanostatique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RMN, FTIR, DRX, ATG-DSC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Etude des performances électrochimiques du matériau organique avec différents électrolytes et solvants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Interprétation des données et résultats.</w:t>
      </w:r>
    </w:p>
    <w:p>
      <w:pPr>
        <w:pStyle w:val="ListParagraph"/>
        <w:widowControl w:val="false"/>
        <w:numPr>
          <w:ilvl w:val="1"/>
          <w:numId w:val="4"/>
        </w:numPr>
        <w:tabs>
          <w:tab w:val="clear" w:pos="708"/>
          <w:tab w:val="left" w:pos="2171" w:leader="none"/>
          <w:tab w:val="left" w:pos="2172" w:leader="none"/>
        </w:tabs>
        <w:spacing w:lineRule="auto" w:line="240" w:before="0" w:after="0"/>
        <w:contextualSpacing w:val="false"/>
        <w:jc w:val="left"/>
        <w:rPr>
          <w:sz w:val="21"/>
        </w:rPr>
      </w:pPr>
      <w:r>
        <w:rPr>
          <w:sz w:val="21"/>
        </w:rPr>
        <w:t>Rédaction de compte rendu</w:t>
      </w:r>
    </w:p>
    <w:p>
      <w:pPr>
        <w:pStyle w:val="Normal"/>
        <w:widowControl w:val="false"/>
        <w:tabs>
          <w:tab w:val="clear" w:pos="708"/>
          <w:tab w:val="left" w:pos="2171" w:leader="none"/>
          <w:tab w:val="left" w:pos="2172" w:leader="none"/>
        </w:tabs>
        <w:spacing w:lineRule="exact" w:line="265" w:before="0" w:after="0"/>
        <w:jc w:val="left"/>
        <w:rPr>
          <w:sz w:val="21"/>
        </w:rPr>
      </w:pPr>
      <w:r>
        <w:rPr>
          <w:sz w:val="21"/>
        </w:rPr>
      </w:r>
    </w:p>
    <w:sectPr>
      <w:type w:val="nextPage"/>
      <w:pgSz w:w="11906" w:h="16838"/>
      <w:pgMar w:left="720" w:right="720" w:gutter="0" w:header="0" w:top="1361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M Roman 12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DejaVu Sans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"/>
      <w:lvlJc w:val="left"/>
      <w:pPr>
        <w:tabs>
          <w:tab w:val="num" w:pos="0"/>
        </w:tabs>
        <w:ind w:left="2345" w:hanging="360"/>
      </w:pPr>
      <w:rPr>
        <w:rFonts w:ascii="Wingdings" w:hAnsi="Wingdings" w:cs="Wingdings" w:hint="default"/>
        <w:sz w:val="24"/>
        <w:szCs w:val="24"/>
        <w:w w:val="100"/>
        <w:color w:val="5B9BD4"/>
        <w:lang w:val="fr-FR" w:eastAsia="en-US" w:bidi="ar-SA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2203" w:hanging="360"/>
      </w:pPr>
      <w:rPr>
        <w:rFonts w:ascii="Wingdings" w:hAnsi="Wingdings" w:cs="Wingdings" w:hint="default"/>
        <w:color w:val="auto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4012" w:hanging="36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959" w:hanging="36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907" w:hanging="36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854" w:hanging="36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801" w:hanging="36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749" w:hanging="36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696" w:hanging="360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2100" w:hanging="360"/>
      </w:pPr>
      <w:rPr>
        <w:rFonts w:ascii="Symbol" w:hAnsi="Symbol" w:cs="Symbol" w:hint="default"/>
        <w:lang w:val="fr-FR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5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2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9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1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86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❖"/>
      <w:lvlJc w:val="left"/>
      <w:pPr>
        <w:tabs>
          <w:tab w:val="num" w:pos="0"/>
        </w:tabs>
        <w:ind w:left="1180" w:hanging="360"/>
      </w:pPr>
      <w:rPr>
        <w:rFonts w:ascii="DejaVu Sans" w:hAnsi="DejaVu Sans" w:cs="DejaVu Sans" w:hint="default"/>
        <w:sz w:val="22"/>
        <w:b/>
        <w:szCs w:val="22"/>
        <w:bCs/>
        <w:w w:val="99"/>
        <w:color w:val="EC7C30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171" w:hanging="363"/>
      </w:pPr>
      <w:rPr>
        <w:rFonts w:ascii="Symbol" w:hAnsi="Symbol" w:cs="Symbol" w:hint="default"/>
        <w:sz w:val="22"/>
        <w:szCs w:val="22"/>
        <w:w w:val="100"/>
        <w:color w:val="E26C09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42" w:hanging="363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104" w:hanging="363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066" w:hanging="363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29" w:hanging="363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91" w:hanging="363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953" w:hanging="363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916" w:hanging="363"/>
      </w:pPr>
      <w:rPr>
        <w:rFonts w:ascii="Symbol" w:hAnsi="Symbol" w:cs="Symbol" w:hint="default"/>
        <w:lang w:val="fr-FR" w:eastAsia="en-US" w:bidi="ar-SA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M Roman 12" w:hAnsi="LM Roman 12" w:eastAsia="Calibri" w:cs="" w:cstheme="minorBidi" w:eastAsiaTheme="minorHAnsi"/>
        <w:kern w:val="2"/>
        <w:sz w:val="24"/>
        <w:szCs w:val="22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16219"/>
    <w:pPr>
      <w:widowControl/>
      <w:suppressAutoHyphens w:val="true"/>
      <w:bidi w:val="0"/>
      <w:spacing w:lineRule="auto" w:line="360" w:before="0" w:after="160"/>
      <w:jc w:val="both"/>
    </w:pPr>
    <w:rPr>
      <w:rFonts w:ascii="Arial" w:hAnsi="Arial" w:eastAsia="Calibri" w:cs="Arial"/>
      <w:color w:val="auto"/>
      <w:kern w:val="0"/>
      <w:sz w:val="22"/>
      <w:szCs w:val="24"/>
      <w:lang w:val="fr-FR" w:eastAsia="en-US" w:bidi="ar-SA"/>
      <w14:ligatures w14:val="none"/>
    </w:rPr>
  </w:style>
  <w:style w:type="paragraph" w:styleId="Heading2">
    <w:name w:val="Heading 2"/>
    <w:basedOn w:val="ListParagraph"/>
    <w:next w:val="Normal"/>
    <w:link w:val="Titre2Car"/>
    <w:uiPriority w:val="9"/>
    <w:unhideWhenUsed/>
    <w:qFormat/>
    <w:rsid w:val="00b16219"/>
    <w:pPr>
      <w:ind w:left="0"/>
      <w:outlineLvl w:val="1"/>
    </w:pPr>
    <w:rPr>
      <w:b/>
      <w:bCs/>
      <w:color w:val="538DD3"/>
      <w:sz w:val="26"/>
      <w:szCs w:val="26"/>
    </w:rPr>
  </w:style>
  <w:style w:type="paragraph" w:styleId="Heading3">
    <w:name w:val="Heading 3"/>
    <w:basedOn w:val="ListParagraph"/>
    <w:next w:val="Normal"/>
    <w:link w:val="Titre3Car"/>
    <w:uiPriority w:val="9"/>
    <w:unhideWhenUsed/>
    <w:qFormat/>
    <w:rsid w:val="00b16219"/>
    <w:pPr>
      <w:ind w:left="0"/>
      <w:outlineLvl w:val="2"/>
    </w:pPr>
    <w:rPr>
      <w:rFonts w:eastAsia="Arial"/>
      <w:b/>
      <w:bCs/>
      <w:color w:val="EC7C30"/>
      <w:sz w:val="24"/>
    </w:rPr>
  </w:style>
  <w:style w:type="paragraph" w:styleId="Heading4">
    <w:name w:val="Heading 4"/>
    <w:basedOn w:val="Heading3"/>
    <w:next w:val="Normal"/>
    <w:link w:val="Titre4Car"/>
    <w:uiPriority w:val="9"/>
    <w:unhideWhenUsed/>
    <w:qFormat/>
    <w:rsid w:val="00b16219"/>
    <w:pPr>
      <w:outlineLvl w:val="3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2Car" w:customStyle="1">
    <w:name w:val="Titre 2 Car"/>
    <w:basedOn w:val="DefaultParagraphFont"/>
    <w:link w:val="Heading2"/>
    <w:uiPriority w:val="9"/>
    <w:qFormat/>
    <w:rsid w:val="00b16219"/>
    <w:rPr>
      <w:rFonts w:ascii="Arial" w:hAnsi="Arial" w:cs="Arial"/>
      <w:b/>
      <w:bCs/>
      <w:color w:val="538DD3"/>
      <w:kern w:val="0"/>
      <w:sz w:val="26"/>
      <w:szCs w:val="26"/>
      <w14:ligatures w14:val="none"/>
    </w:rPr>
  </w:style>
  <w:style w:type="character" w:styleId="Titre3Car" w:customStyle="1">
    <w:name w:val="Titre 3 Car"/>
    <w:basedOn w:val="DefaultParagraphFont"/>
    <w:link w:val="Heading3"/>
    <w:uiPriority w:val="9"/>
    <w:qFormat/>
    <w:rsid w:val="00b16219"/>
    <w:rPr>
      <w:rFonts w:ascii="Arial" w:hAnsi="Arial" w:eastAsia="Arial" w:cs="Arial"/>
      <w:b/>
      <w:bCs/>
      <w:color w:val="EC7C30"/>
      <w:kern w:val="0"/>
      <w:szCs w:val="24"/>
      <w14:ligatures w14:val="none"/>
    </w:rPr>
  </w:style>
  <w:style w:type="character" w:styleId="Titre4Car" w:customStyle="1">
    <w:name w:val="Titre 4 Car"/>
    <w:basedOn w:val="DefaultParagraphFont"/>
    <w:link w:val="Heading4"/>
    <w:uiPriority w:val="9"/>
    <w:qFormat/>
    <w:rsid w:val="00b16219"/>
    <w:rPr>
      <w:rFonts w:ascii="Arial" w:hAnsi="Arial" w:eastAsia="Arial" w:cs="Arial"/>
      <w:b/>
      <w:bCs/>
      <w:color w:val="EC7C30"/>
      <w:kern w:val="0"/>
      <w:szCs w:val="24"/>
      <w14:ligatures w14:val="none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b16219"/>
    <w:rPr>
      <w:rFonts w:ascii="Arial" w:hAnsi="Arial" w:cs="Arial"/>
      <w:kern w:val="0"/>
      <w:sz w:val="22"/>
      <w:szCs w:val="24"/>
      <w14:ligatures w14:val="none"/>
    </w:rPr>
  </w:style>
  <w:style w:type="character" w:styleId="PieddepageCar" w:customStyle="1">
    <w:name w:val="Pied de page Car"/>
    <w:basedOn w:val="DefaultParagraphFont"/>
    <w:link w:val="Footer"/>
    <w:uiPriority w:val="99"/>
    <w:qFormat/>
    <w:rsid w:val="006e366f"/>
    <w:rPr>
      <w:rFonts w:ascii="Arial" w:hAnsi="Arial" w:cs="Arial"/>
      <w:kern w:val="0"/>
      <w:sz w:val="22"/>
      <w:szCs w:val="24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rsid w:val="00b16219"/>
    <w:pPr>
      <w:spacing w:before="0" w:after="160"/>
      <w:ind w:left="720"/>
      <w:contextualSpacing/>
    </w:pPr>
    <w:rPr/>
  </w:style>
  <w:style w:type="paragraph" w:styleId="TableParagraph" w:customStyle="1">
    <w:name w:val="Table Paragraph"/>
    <w:basedOn w:val="Normal"/>
    <w:uiPriority w:val="1"/>
    <w:qFormat/>
    <w:rsid w:val="00b16219"/>
    <w:pPr>
      <w:widowControl w:val="false"/>
      <w:spacing w:lineRule="auto" w:line="240" w:before="0" w:after="0"/>
      <w:ind w:left="200"/>
      <w:jc w:val="left"/>
    </w:pPr>
    <w:rPr>
      <w:rFonts w:eastAsia="Arial"/>
      <w:szCs w:val="22"/>
    </w:rPr>
  </w:style>
  <w:style w:type="paragraph" w:styleId="bodycv" w:customStyle="1">
    <w:name w:val="body_cv"/>
    <w:basedOn w:val="Normal"/>
    <w:qFormat/>
    <w:rsid w:val="00b16219"/>
    <w:pPr>
      <w:widowControl w:val="false"/>
      <w:suppressAutoHyphens w:val="true"/>
      <w:spacing w:lineRule="auto" w:line="288" w:before="0" w:after="57"/>
      <w:ind w:left="737"/>
      <w:jc w:val="left"/>
    </w:pPr>
    <w:rPr>
      <w:rFonts w:eastAsia="DejaVu Sans" w:cs="Times New Roman"/>
      <w:color w:val="4A4A4A"/>
      <w:sz w:val="17"/>
      <w:lang w:eastAsia="fr-FR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b16219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6e366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LibreOffice/24.2.7.2$Linux_X86_64 LibreOffice_project/420$Build-2</Application>
  <AppVersion>15.0000</AppVersion>
  <Pages>6</Pages>
  <Words>836</Words>
  <Characters>5035</Characters>
  <CharactersWithSpaces>5650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2024-03-19T10:51:00Z</dcterms:created>
  <dc:creator>Aimery Auxéméry</dc:creator>
  <dc:description/>
  <dc:language>en-US</dc:language>
  <cp:lastModifiedBy/>
  <cp:lastPrinted>2024-03-19T10:52:00Z</cp:lastPrinted>
  <dcterms:modified xsi:type="dcterms:W3CDTF">2025-11-14T16:54:35Z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