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Grupo 1: Planificación semana 10 de Octubre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- [X] Crear operaciones para usar los datos seleccionados en la creación de una lista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Crear operaciones de la lista con los resultados multiplicado por las cantidades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62288" cy="3067374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3067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- [X] Añadir al botón, una  lista de productos escogidos, y sus precios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Mostrar en una ventana emergente una lista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el botón colocar los strings[Nombres], integer[Precios], etc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Página donde se escogen y se suman los precios de los productos 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  <w:shd w:fill="e06666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1371600</wp:posOffset>
            </wp:positionH>
            <wp:positionV relativeFrom="paragraph">
              <wp:posOffset>152893</wp:posOffset>
            </wp:positionV>
            <wp:extent cx="2824163" cy="3455581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9770" r="183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34555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Un alert donde se muestra una lista con la cantidad y precio de productos seleccionados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1123950</wp:posOffset>
            </wp:positionH>
            <wp:positionV relativeFrom="paragraph">
              <wp:posOffset>123354</wp:posOffset>
            </wp:positionV>
            <wp:extent cx="3187858" cy="4304281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858" cy="43042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- [X] Revisar y probar códigos de la Tarea 8, e intentar implementar el proyecto inicial de MongoDB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Copiamos la tarea 8 para ver cómo funciona, cargamos los datos de comunas y luego ejecutamos el archivo test para ver cómo funciona </w:t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933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- [X] Dar ideas del diseño de la página web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Colocar imagenes con vue</w:t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</w:rPr>
        <w:drawing>
          <wp:inline distB="114300" distT="114300" distL="114300" distR="114300">
            <wp:extent cx="4152900" cy="34194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  <w:shd w:fill="e06666" w:val="clear"/>
        </w:rPr>
      </w:pPr>
      <w:r w:rsidDel="00000000" w:rsidR="00000000" w:rsidRPr="00000000">
        <w:rPr>
          <w:sz w:val="28"/>
          <w:szCs w:val="28"/>
          <w:shd w:fill="e06666" w:val="clear"/>
          <w:rtl w:val="0"/>
        </w:rPr>
        <w:t xml:space="preserve">Bosquejo de la pag web (Imagenes de limpieza e información)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857250</wp:posOffset>
            </wp:positionH>
            <wp:positionV relativeFrom="paragraph">
              <wp:posOffset>342900</wp:posOffset>
            </wp:positionV>
            <wp:extent cx="3586817" cy="4677775"/>
            <wp:effectExtent b="0" l="0" r="0" t="0"/>
            <wp:wrapTopAndBottom distB="114300" distT="11430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259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817" cy="467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