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D3B7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任务 1 文字答案</w:t>
      </w:r>
    </w:p>
    <w:p w14:paraId="56B1C874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本数据集每一行代表一件淘宝商品完整记录，数据集共 25000 条商品数据、15 个属性字段。</w:t>
      </w:r>
    </w:p>
    <w:p w14:paraId="7D63F416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任务 2 字段说明</w:t>
      </w:r>
    </w:p>
    <w:p w14:paraId="7E97EA0C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可直接数值统计字段：商品价格（浮点数值类型，无混杂文本，支持均值、四分位数等数值运算）</w:t>
      </w:r>
    </w:p>
    <w:p w14:paraId="24FACA84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不宜数值统计字段：商品销量（字符串类型，包含 “100+、10 万 +” 等分段文字，无法直接做加减平均计算）</w:t>
      </w:r>
    </w:p>
    <w:p w14:paraId="4438030B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任务 3 字段区别</w:t>
      </w:r>
    </w:p>
    <w:p w14:paraId="33D995B6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df["商品价格"]：返回一维 Series 对象，只有单列数据，无表格结构；</w:t>
      </w:r>
    </w:p>
    <w:p w14:paraId="3D51435B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df[["商品价格"]]：返回二维 DataFrame 表格，保留列名与标准表格格式。</w:t>
      </w:r>
    </w:p>
    <w:p w14:paraId="7191C489" w14:textId="5644797B" w:rsidR="00BE1BCC" w:rsidRDefault="00BE1BCC" w:rsidP="00BE1BCC">
      <w:pPr>
        <w:rPr>
          <w:rFonts w:hint="eastAsia"/>
        </w:rPr>
      </w:pPr>
      <w:r>
        <w:rPr>
          <w:rFonts w:hint="eastAsia"/>
        </w:rPr>
        <w:t>任务 5 结论</w:t>
      </w:r>
    </w:p>
    <w:p w14:paraId="002DAABE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数据范围：在本次 25000 条淘宝全国商品记录中，采用一级品类、商品价格字段，通过 groupby 分组聚合计算各品类商品数量、均价与中位数；</w:t>
      </w:r>
    </w:p>
    <w:p w14:paraId="72FBEEF2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结论：数码家电、钟表珠宝类商品平均上架标价远高于食品生鲜、农资园艺类目；</w:t>
      </w:r>
    </w:p>
    <w:p w14:paraId="460AB566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边界：该统计仅基于商品展示标价，不包含实际成交折扣、真实付款金额，不能代表全网消费者实际购物均价。</w:t>
      </w:r>
    </w:p>
    <w:p w14:paraId="23DDD91B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挑战任务两句结论</w:t>
      </w:r>
    </w:p>
    <w:p w14:paraId="10DEAC7D" w14:textId="77777777" w:rsidR="00BE1BCC" w:rsidRDefault="00BE1BCC" w:rsidP="00BE1BCC">
      <w:pPr>
        <w:rPr>
          <w:rFonts w:hint="eastAsia"/>
        </w:rPr>
      </w:pPr>
      <w:r>
        <w:rPr>
          <w:rFonts w:hint="eastAsia"/>
        </w:rPr>
        <w:t>差异描述：对比广东、江苏两省样本，广东省商品样本总量更大，商品平均标价、中位标价均高于江苏省；</w:t>
      </w:r>
    </w:p>
    <w:p w14:paraId="5D946A48" w14:textId="498BFC6B" w:rsidR="002450D9" w:rsidRDefault="00BE1BCC" w:rsidP="00BE1BCC">
      <w:r>
        <w:rPr>
          <w:rFonts w:hint="eastAsia"/>
        </w:rPr>
        <w:t>结论边界：该对比仅基于本数据集采集的上架商品，无法反映两省真实电商成交规模、线下消费水平差异。</w:t>
      </w:r>
    </w:p>
    <w:sectPr w:rsidR="00245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D9"/>
    <w:rsid w:val="002450D9"/>
    <w:rsid w:val="00881053"/>
    <w:rsid w:val="00BE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79E1"/>
  <w15:chartTrackingRefBased/>
  <w15:docId w15:val="{A42A8844-EF1C-4DC8-AEA1-609D0124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50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0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0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0D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0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0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0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50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5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5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50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50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50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50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50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50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50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0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5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50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50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50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5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50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5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卡卡 朴</dc:creator>
  <cp:keywords/>
  <dc:description/>
  <cp:lastModifiedBy>卡卡 朴</cp:lastModifiedBy>
  <cp:revision>3</cp:revision>
  <dcterms:created xsi:type="dcterms:W3CDTF">2026-07-16T02:57:00Z</dcterms:created>
  <dcterms:modified xsi:type="dcterms:W3CDTF">2026-07-16T02:58:00Z</dcterms:modified>
</cp:coreProperties>
</file>