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87FFD">
      <w:pPr>
        <w:spacing w:after="30" w:line="360" w:lineRule="auto"/>
        <w:jc w:val="center"/>
        <w:rPr>
          <w:rFonts w:hint="default" w:ascii="Times New Roman Regular" w:hAnsi="Times New Roman Regular" w:cs="Times New Roman Regular"/>
        </w:rPr>
      </w:pPr>
      <w:bookmarkStart w:id="0" w:name="_GoBack"/>
      <w:r>
        <w:rPr>
          <w:rFonts w:hint="default" w:ascii="Times New Roman Regular" w:hAnsi="Times New Roman Regular" w:cs="Times New Roman Regular"/>
          <w:b/>
          <w:bCs/>
          <w:color w:val="1F3A5F"/>
          <w:sz w:val="34"/>
          <w:szCs w:val="34"/>
        </w:rPr>
        <w:t>Final Year Project Tracking &amp; Accountability System</w:t>
      </w:r>
    </w:p>
    <w:p w14:paraId="409187B2">
      <w:pPr>
        <w:spacing w:after="30" w:line="360"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1F3A5F"/>
          <w:sz w:val="26"/>
          <w:szCs w:val="26"/>
        </w:rPr>
        <w:t>Requirements Brief  —  v1.0 (Baseline for team handover)</w:t>
      </w:r>
    </w:p>
    <w:p w14:paraId="75766C13">
      <w:pPr>
        <w:spacing w:after="20" w:line="360" w:lineRule="auto"/>
        <w:jc w:val="center"/>
        <w:rPr>
          <w:rFonts w:hint="default" w:ascii="Times New Roman Regular" w:hAnsi="Times New Roman Regular" w:cs="Times New Roman Regular"/>
        </w:rPr>
      </w:pPr>
      <w:r>
        <w:rPr>
          <w:rFonts w:hint="default" w:ascii="Times New Roman Regular" w:hAnsi="Times New Roman Regular" w:cs="Times New Roman Regular"/>
          <w:color w:val="5B6B7B"/>
          <w:sz w:val="18"/>
          <w:szCs w:val="18"/>
        </w:rPr>
        <w:t xml:space="preserve">Prepared by Ngomituje </w:t>
      </w:r>
      <w:r>
        <w:rPr>
          <w:rFonts w:hint="default" w:ascii="Times New Roman Regular" w:hAnsi="Times New Roman Regular" w:cs="Times New Roman Regular"/>
          <w:color w:val="5B6B7B"/>
          <w:sz w:val="18"/>
          <w:szCs w:val="18"/>
          <w:lang w:val="en-US"/>
        </w:rPr>
        <w:t>Samuel</w:t>
      </w:r>
      <w:r>
        <w:rPr>
          <w:rFonts w:hint="default" w:ascii="Times New Roman Regular" w:hAnsi="Times New Roman Regular" w:cs="Times New Roman Regular"/>
          <w:color w:val="5B6B7B"/>
          <w:sz w:val="18"/>
          <w:szCs w:val="18"/>
        </w:rPr>
        <w:t>·      6 June 2026      ·      Status: baseline for team handover</w:t>
      </w:r>
    </w:p>
    <w:p w14:paraId="0427AFD9">
      <w:pPr>
        <w:pBdr>
          <w:bottom w:val="single" w:color="1F3A5F" w:sz="14" w:space="1"/>
        </w:pBdr>
        <w:spacing w:before="60" w:after="210" w:line="360" w:lineRule="auto"/>
        <w:rPr>
          <w:rFonts w:hint="default" w:ascii="Times New Roman Regular" w:hAnsi="Times New Roman Regular" w:cs="Times New Roman Regular"/>
        </w:rPr>
      </w:pPr>
    </w:p>
    <w:p w14:paraId="3019C6B9">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1.  Purpose</w:t>
      </w:r>
    </w:p>
    <w:p w14:paraId="369D08FB">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department keeps good records at the start of the final-project journey (registration, letter approval) and near the end (book submission, defense scheduling), but has little visibility during prototype review and supervision. Those blind spots are where students are most often hurt and where responsibility is today assigned by assumption rather than by evidence.</w:t>
      </w:r>
    </w:p>
    <w:p w14:paraId="6A1B01A6">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This system records every state a student passes through — with who acted and when — so that complaints can be resolved from a timestamped record. Its first priority is closing the supervision blind spot; its second is joining all stages into one continuous, auditable timeline for each student.</w:t>
      </w:r>
    </w:p>
    <w:p w14:paraId="237D90EC">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It also keeps students, supervisors and examiners informed at every step by email, and keeps a record of every message it sends — so “I was never told” can be checked against what the system actually sent.</w:t>
      </w:r>
    </w:p>
    <w:p w14:paraId="5F4D7818">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2.  Scope of this draft</w:t>
      </w:r>
    </w:p>
    <w:p w14:paraId="16DB5685">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This is an early increment of the requirements, not the full specification. It fixes the journey, the actors, the data each stage must capture, the notifications the system sends, and a first prioritisation. Detailed per-module requirements, screens, and acceptance criteria will be added by the team. Delivery will be incremental and timeboxed (see the companion Incremental Delivery Plan).</w:t>
      </w:r>
    </w:p>
    <w:p w14:paraId="1FB2DA7C">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3.  Actors</w:t>
      </w:r>
    </w:p>
    <w:p w14:paraId="5DDFEDF5">
      <w:pPr>
        <w:spacing w:after="120" w:line="360" w:lineRule="auto"/>
        <w:rPr>
          <w:rFonts w:hint="default" w:ascii="Times New Roman Regular" w:hAnsi="Times New Roman Regular" w:cs="Times New Roman Regular"/>
        </w:rPr>
      </w:pPr>
      <w:r>
        <w:rPr>
          <w:rFonts w:hint="default" w:ascii="Times New Roman Regular" w:hAnsi="Times New Roman Regular" w:cs="Times New Roman Regular"/>
        </w:rPr>
        <w:t>The people and systems that interact with the platform:</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6660"/>
      </w:tblGrid>
      <w:tr w14:paraId="5C6053B0">
        <w:trPr>
          <w:tblHeader/>
        </w:trPr>
        <w:tc>
          <w:tcPr>
            <w:tcW w:w="27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5954003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Actor</w:t>
            </w:r>
          </w:p>
        </w:tc>
        <w:tc>
          <w:tcPr>
            <w:tcW w:w="666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3B08340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Role</w:t>
            </w:r>
          </w:p>
        </w:tc>
      </w:tr>
      <w:tr w14:paraId="5788D890">
        <w:tc>
          <w:tcPr>
            <w:tcW w:w="27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97765E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66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29959F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Registers via the portal, submits the case-study letter and proposal book, and receives notifications. The student follows the meeting dates and times set by the supervisor.</w:t>
            </w:r>
          </w:p>
        </w:tc>
      </w:tr>
      <w:tr w14:paraId="3E4164DA">
        <w:tc>
          <w:tcPr>
            <w:tcW w:w="27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3CDC92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Supervisor</w:t>
            </w:r>
          </w:p>
        </w:tc>
        <w:tc>
          <w:tcPr>
            <w:tcW w:w="66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61F1610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Posts weekly availability, confirms each meeting date and time, signs off the book, and provides their WhatsApp group link(s); notified of new assignments.</w:t>
            </w:r>
          </w:p>
        </w:tc>
      </w:tr>
      <w:tr w14:paraId="39C806AD">
        <w:tc>
          <w:tcPr>
            <w:tcW w:w="27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0666422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Facilitator (Assistant)</w:t>
            </w:r>
          </w:p>
        </w:tc>
        <w:tc>
          <w:tcPr>
            <w:tcW w:w="66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E95BE3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middle-person and day-to-day coordinator for the whole process; keeps the workflow moving, assigns the pre-defense and defense examiners, and maintains supporting information (Section 8). Operational, supporting the HOD’s academic decisions.</w:t>
            </w:r>
          </w:p>
        </w:tc>
      </w:tr>
      <w:tr w14:paraId="2EE56EF2">
        <w:tc>
          <w:tcPr>
            <w:tcW w:w="27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3276C3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Pre-Defense / Defense Examiner</w:t>
            </w:r>
          </w:p>
        </w:tc>
        <w:tc>
          <w:tcPr>
            <w:tcW w:w="66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38D156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An eligible supervisor assigned to conduct a student’s pre-defense or defense. Notified when assigned, and records the outcome / status. Tracked separately from the students the person supervises (Section 7).</w:t>
            </w:r>
          </w:p>
        </w:tc>
      </w:tr>
      <w:tr w14:paraId="28B9FBA8">
        <w:tc>
          <w:tcPr>
            <w:tcW w:w="27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C5FC31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Head of Department (HOD)</w:t>
            </w:r>
          </w:p>
        </w:tc>
        <w:tc>
          <w:tcPr>
            <w:tcW w:w="66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E18689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Uploads the registered-student list, approves letters, issues preliminary requirements, assigns supervisors, and reads prototype data.</w:t>
            </w:r>
          </w:p>
        </w:tc>
      </w:tr>
      <w:tr w14:paraId="711263AB">
        <w:tc>
          <w:tcPr>
            <w:tcW w:w="27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A66C3D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Superadmin</w:t>
            </w:r>
          </w:p>
        </w:tc>
        <w:tc>
          <w:tcPr>
            <w:tcW w:w="66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EAF690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system owner account, with full access to all data and functions: manages accounts and roles, resets passwords, monitors every log, and configures the system; held by a single individual (Section 8).</w:t>
            </w:r>
          </w:p>
        </w:tc>
      </w:tr>
      <w:tr w14:paraId="377859FC">
        <w:tc>
          <w:tcPr>
            <w:tcW w:w="27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7DE2CD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Review System (external)</w:t>
            </w:r>
          </w:p>
        </w:tc>
        <w:tc>
          <w:tcPr>
            <w:tcW w:w="66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74215D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 separate, existing system that exposes prototype data (schedule, attempts, decisions) read-only via an API.</w:t>
            </w:r>
          </w:p>
        </w:tc>
      </w:tr>
      <w:tr w14:paraId="148D5EF1">
        <w:tc>
          <w:tcPr>
            <w:tcW w:w="27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7C4E14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Email / notification provider (external)</w:t>
            </w:r>
          </w:p>
        </w:tc>
        <w:tc>
          <w:tcPr>
            <w:tcW w:w="66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38038F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institution’s email service (e.g., Google Workspace) used to deliver notifications; integrated via API.</w:t>
            </w:r>
          </w:p>
        </w:tc>
      </w:tr>
    </w:tbl>
    <w:p w14:paraId="45EA6270">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4.  The student journey</w:t>
      </w:r>
    </w:p>
    <w:p w14:paraId="0AB0665B">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Each student occupies exactly one state at a time, and every transition is recorded with the actor and a timestamp. Figure 1 (next page) shows the full journey; Table 1 lists the trigger for each transition. Every transition also sends an email (Section 6). Pre-defense and defense move forward to the next step — they do not return the student to their supervisor; they are conducted by assigned examiners (Section 7).</w:t>
      </w:r>
    </w:p>
    <w:p w14:paraId="314598B2">
      <w:pPr>
        <w:spacing w:line="360" w:lineRule="auto"/>
        <w:rPr>
          <w:rFonts w:hint="default" w:ascii="Times New Roman Regular" w:hAnsi="Times New Roman Regular" w:cs="Times New Roman Regular"/>
        </w:rPr>
        <w:sectPr>
          <w:footerReference r:id="rId3" w:type="default"/>
          <w:pgSz w:w="12240" w:h="15840"/>
          <w:pgMar w:top="1440" w:right="1440" w:bottom="1260" w:left="1440" w:header="708" w:footer="708" w:gutter="0"/>
          <w:cols w:space="720" w:num="1"/>
          <w:docGrid w:linePitch="360" w:charSpace="0"/>
        </w:sectPr>
      </w:pPr>
    </w:p>
    <w:p w14:paraId="1656665D">
      <w:pPr>
        <w:pStyle w:val="3"/>
        <w:spacing w:line="360" w:lineRule="auto"/>
        <w:rPr>
          <w:rFonts w:hint="default" w:ascii="Times New Roman Regular" w:hAnsi="Times New Roman Regular" w:cs="Times New Roman Regular"/>
        </w:rPr>
      </w:pPr>
      <w:r>
        <w:rPr>
          <w:rFonts w:hint="default" w:ascii="Times New Roman Regular" w:hAnsi="Times New Roman Regular" w:cs="Times New Roman Regular"/>
        </w:rPr>
        <w:t>Figure 1  —  The student journey (state model)</w:t>
      </w:r>
    </w:p>
    <w:p w14:paraId="30402304">
      <w:pPr>
        <w:spacing w:before="60" w:after="40" w:line="360" w:lineRule="auto"/>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8382000" cy="5410200"/>
            <wp:effectExtent l="0" t="0" r="0" b="0"/>
            <wp:docPr id="1" name="diagram" descr="FYP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 descr="FYP diagram" title="Diagram"/>
                    <pic:cNvPicPr>
                      <a:picLocks noChangeAspect="1" noChangeArrowheads="1"/>
                    </pic:cNvPicPr>
                  </pic:nvPicPr>
                  <pic:blipFill>
                    <a:blip r:embed="rId7"/>
                    <a:srcRect/>
                    <a:stretch>
                      <a:fillRect/>
                    </a:stretch>
                  </pic:blipFill>
                  <pic:spPr>
                    <a:xfrm>
                      <a:off x="0" y="0"/>
                      <a:ext cx="8382000" cy="5410200"/>
                    </a:xfrm>
                    <a:prstGeom prst="rect">
                      <a:avLst/>
                    </a:prstGeom>
                  </pic:spPr>
                </pic:pic>
              </a:graphicData>
            </a:graphic>
          </wp:inline>
        </w:drawing>
      </w:r>
    </w:p>
    <w:p w14:paraId="2CD5CE83">
      <w:pPr>
        <w:spacing w:before="70" w:after="60" w:line="360" w:lineRule="auto"/>
        <w:jc w:val="center"/>
        <w:rPr>
          <w:rFonts w:hint="default" w:ascii="Times New Roman Regular" w:hAnsi="Times New Roman Regular" w:cs="Times New Roman Regular"/>
        </w:rPr>
      </w:pPr>
      <w:r>
        <w:rPr>
          <w:rFonts w:hint="default" w:ascii="Times New Roman Regular" w:hAnsi="Times New Roman Regular" w:cs="Times New Roman Regular"/>
          <w:i/>
          <w:iCs/>
          <w:color w:val="5B6B7B"/>
          <w:sz w:val="18"/>
          <w:szCs w:val="18"/>
        </w:rPr>
        <w:t>Amber = the primary focus (the supervision blind spot).  Dashed blue = the external prototype-review system (read-only via API).  Red loops = re-presentation at the same stage, counted for accountability. Pre-defense and defense proceed forward; they do not return to the supervisor.</w:t>
      </w:r>
    </w:p>
    <w:p w14:paraId="724E0231">
      <w:pPr>
        <w:spacing w:line="360" w:lineRule="auto"/>
        <w:rPr>
          <w:rFonts w:hint="default" w:ascii="Times New Roman Regular" w:hAnsi="Times New Roman Regular" w:cs="Times New Roman Regular"/>
        </w:rPr>
        <w:sectPr>
          <w:footerReference r:id="rId4" w:type="default"/>
          <w:pgSz w:w="15840" w:h="12240" w:orient="landscape"/>
          <w:pgMar w:top="1080" w:right="1080" w:bottom="1080" w:left="1080" w:header="708" w:footer="708" w:gutter="0"/>
          <w:cols w:space="720" w:num="1"/>
          <w:docGrid w:linePitch="360" w:charSpace="0"/>
        </w:sectPr>
      </w:pPr>
    </w:p>
    <w:p w14:paraId="6FD3C0AE">
      <w:pPr>
        <w:pStyle w:val="3"/>
        <w:spacing w:line="360" w:lineRule="auto"/>
        <w:rPr>
          <w:rFonts w:hint="default" w:ascii="Times New Roman Regular" w:hAnsi="Times New Roman Regular" w:cs="Times New Roman Regular"/>
        </w:rPr>
      </w:pPr>
      <w:r>
        <w:rPr>
          <w:rFonts w:hint="default" w:ascii="Times New Roman Regular" w:hAnsi="Times New Roman Regular" w:cs="Times New Roman Regular"/>
        </w:rPr>
        <w:t>Table 1  —  Transition triggers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60"/>
        <w:gridCol w:w="2760"/>
        <w:gridCol w:w="3840"/>
      </w:tblGrid>
      <w:tr w14:paraId="223D0F05">
        <w:trPr>
          <w:tblHeader/>
        </w:trPr>
        <w:tc>
          <w:tcPr>
            <w:tcW w:w="276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4C826A4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From state</w:t>
            </w:r>
          </w:p>
        </w:tc>
        <w:tc>
          <w:tcPr>
            <w:tcW w:w="276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5C02F2B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To state</w:t>
            </w:r>
          </w:p>
        </w:tc>
        <w:tc>
          <w:tcPr>
            <w:tcW w:w="384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6C78263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Trigger / condition</w:t>
            </w:r>
          </w:p>
        </w:tc>
      </w:tr>
      <w:tr w14:paraId="4704F862">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54C437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Registered</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89231E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Case Letter Submitted</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7AAC904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 submits the case-study letter and form</w:t>
            </w:r>
          </w:p>
        </w:tc>
      </w:tr>
      <w:tr w14:paraId="0AE9A0FB">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25B87CD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Case Letter Submitted</w:t>
            </w:r>
          </w:p>
        </w:tc>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BD92B8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Case Letter Approved</w:t>
            </w:r>
          </w:p>
        </w:tc>
        <w:tc>
          <w:tcPr>
            <w:tcW w:w="384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7EA90EE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HOD approves the letter</w:t>
            </w:r>
          </w:p>
        </w:tc>
      </w:tr>
      <w:tr w14:paraId="1E8311C6">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FF8332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Case Letter Approved</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131468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Review</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449D94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HOD issues preliminary requirements</w:t>
            </w:r>
          </w:p>
        </w:tc>
      </w:tr>
      <w:tr w14:paraId="414A704E">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7202DC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Review</w:t>
            </w:r>
          </w:p>
        </w:tc>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6AE8C2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Review</w:t>
            </w:r>
          </w:p>
        </w:tc>
        <w:tc>
          <w:tcPr>
            <w:tcW w:w="384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B734D1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C0392B"/>
                <w:sz w:val="22"/>
                <w:szCs w:val="22"/>
              </w:rPr>
              <w:t>Needs refinement — student re-presents (attempt counted)</w:t>
            </w:r>
          </w:p>
        </w:tc>
      </w:tr>
      <w:tr w14:paraId="4060E63A">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EABCA0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Review</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84C1B2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Granted</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141123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granted</w:t>
            </w:r>
          </w:p>
        </w:tc>
      </w:tr>
      <w:tr w14:paraId="2470F115">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592378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Granted</w:t>
            </w:r>
          </w:p>
        </w:tc>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E45D1A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Under Review</w:t>
            </w:r>
          </w:p>
        </w:tc>
        <w:tc>
          <w:tcPr>
            <w:tcW w:w="384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40873C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 submits the proposal book</w:t>
            </w:r>
          </w:p>
        </w:tc>
      </w:tr>
      <w:tr w14:paraId="234F4F1B">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DC2584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Under Review</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72FCD8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Under Review</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F66276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C0392B"/>
                <w:sz w:val="22"/>
                <w:szCs w:val="22"/>
              </w:rPr>
              <w:t>Book rejected — student resubmits (attempt + reason recorded)</w:t>
            </w:r>
          </w:p>
        </w:tc>
      </w:tr>
      <w:tr w14:paraId="59F397E8">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395320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Under Review</w:t>
            </w:r>
          </w:p>
        </w:tc>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127A52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Accepted</w:t>
            </w:r>
          </w:p>
        </w:tc>
        <w:tc>
          <w:tcPr>
            <w:tcW w:w="384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8CB139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book accepted</w:t>
            </w:r>
          </w:p>
        </w:tc>
      </w:tr>
      <w:tr w14:paraId="1DE66F22">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7C95739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Accepted</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7C7C80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Supervision</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32AFE6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Department assigns a supervisor</w:t>
            </w:r>
          </w:p>
        </w:tc>
      </w:tr>
      <w:tr w14:paraId="00A2392E">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8EE6B3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Supervision</w:t>
            </w:r>
          </w:p>
        </w:tc>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C4174F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Book Submitted</w:t>
            </w:r>
          </w:p>
        </w:tc>
        <w:tc>
          <w:tcPr>
            <w:tcW w:w="384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CA39CA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Supervisor signs off; book submitted for pre-defense</w:t>
            </w:r>
          </w:p>
        </w:tc>
      </w:tr>
      <w:tr w14:paraId="6FD39749">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20E1A3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Book Submitted</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A11A81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Pre-Defense</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D6256B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Scheduled for pre-defense; examiner(s) assigned</w:t>
            </w:r>
          </w:p>
        </w:tc>
      </w:tr>
      <w:tr w14:paraId="29DC5653">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7E9021E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Pre-Defense</w:t>
            </w:r>
          </w:p>
        </w:tc>
        <w:tc>
          <w:tcPr>
            <w:tcW w:w="27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5AC513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Defense</w:t>
            </w:r>
          </w:p>
        </w:tc>
        <w:tc>
          <w:tcPr>
            <w:tcW w:w="384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2847F4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Examiner records the pre-defense as completed / cleared</w:t>
            </w:r>
          </w:p>
        </w:tc>
      </w:tr>
      <w:tr w14:paraId="62B9E5F6">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149CD5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Defense</w:t>
            </w:r>
          </w:p>
        </w:tc>
        <w:tc>
          <w:tcPr>
            <w:tcW w:w="27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DA63C9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 complete —</w:t>
            </w:r>
          </w:p>
        </w:tc>
        <w:tc>
          <w:tcPr>
            <w:tcW w:w="384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E1D871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Defense panel records the result (passed)</w:t>
            </w:r>
          </w:p>
        </w:tc>
      </w:tr>
    </w:tbl>
    <w:p w14:paraId="4CA76902">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5.  Key use cases</w:t>
      </w:r>
    </w:p>
    <w:p w14:paraId="492937EE">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diagram below shows the main use cases and the actors who perform them — a useful anchor for the stakeholder discussion.</w:t>
      </w:r>
    </w:p>
    <w:p w14:paraId="133FA767">
      <w:pPr>
        <w:spacing w:before="60" w:after="40" w:line="360" w:lineRule="auto"/>
        <w:jc w:val="center"/>
        <w:rPr>
          <w:rFonts w:hint="default" w:ascii="Times New Roman Regular" w:hAnsi="Times New Roman Regular" w:cs="Times New Roman Regular"/>
        </w:rPr>
      </w:pPr>
      <w:r>
        <w:rPr>
          <w:rFonts w:hint="default" w:ascii="Times New Roman Regular" w:hAnsi="Times New Roman Regular" w:cs="Times New Roman Regular"/>
        </w:rPr>
        <w:drawing>
          <wp:inline distT="0" distB="0" distL="0" distR="0">
            <wp:extent cx="4762500" cy="7343775"/>
            <wp:effectExtent l="0" t="0" r="0" b="0"/>
            <wp:docPr id="2" name="diagram" descr="FYP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iagram" descr="FYP diagram" title="Diagram"/>
                    <pic:cNvPicPr>
                      <a:picLocks noChangeAspect="1" noChangeArrowheads="1"/>
                    </pic:cNvPicPr>
                  </pic:nvPicPr>
                  <pic:blipFill>
                    <a:blip r:embed="rId8"/>
                    <a:srcRect/>
                    <a:stretch>
                      <a:fillRect/>
                    </a:stretch>
                  </pic:blipFill>
                  <pic:spPr>
                    <a:xfrm>
                      <a:off x="0" y="0"/>
                      <a:ext cx="4762500" cy="7343775"/>
                    </a:xfrm>
                    <a:prstGeom prst="rect">
                      <a:avLst/>
                    </a:prstGeom>
                  </pic:spPr>
                </pic:pic>
              </a:graphicData>
            </a:graphic>
          </wp:inline>
        </w:drawing>
      </w:r>
    </w:p>
    <w:p w14:paraId="1DA68A64">
      <w:pPr>
        <w:spacing w:before="70" w:after="60" w:line="360" w:lineRule="auto"/>
        <w:jc w:val="center"/>
        <w:rPr>
          <w:rFonts w:hint="default" w:ascii="Times New Roman Regular" w:hAnsi="Times New Roman Regular" w:cs="Times New Roman Regular"/>
        </w:rPr>
      </w:pPr>
      <w:r>
        <w:rPr>
          <w:rFonts w:hint="default" w:ascii="Times New Roman Regular" w:hAnsi="Times New Roman Regular" w:cs="Times New Roman Regular"/>
          <w:i/>
          <w:iCs/>
          <w:color w:val="5B6B7B"/>
          <w:sz w:val="18"/>
          <w:szCs w:val="18"/>
        </w:rPr>
        <w:t>Figure 2  —  Use-case overview. Boxes are actors; ellipses are use cases inside the system boundary. The Superadmin has full access beyond the two functions shown; notification, panel and role details are in Sections 6–8.</w:t>
      </w:r>
    </w:p>
    <w:p w14:paraId="7E314C22">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6.  Notifications (email &amp; WhatsApp)</w:t>
      </w:r>
    </w:p>
    <w:p w14:paraId="370516BC">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system holds a verified email address for every student, supervisor and examiner, taken from the registrar’s data and the HOD’s upload. At each milestone, and on key events, it sends an email automatically. Every message is stored in a notification log with the recipient, the time, the contents and the delivery status — part of the accountability record, so that if someone says they were never informed, the exact message the system sent can be shown.</w:t>
      </w:r>
    </w:p>
    <w:p w14:paraId="75CBDC03">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WhatsApp is used through free group links, not a paid messaging service. Each supervisor provides their WhatsApp group link and number; the system stores these — and can hold several links where a supervisor or team runs more than one group — and presents them as a one-click button, including inside the relevant emails. Email remains the system’s own notification channel.</w:t>
      </w:r>
    </w:p>
    <w:p w14:paraId="4062D2DD">
      <w:pPr>
        <w:pStyle w:val="3"/>
        <w:spacing w:line="360" w:lineRule="auto"/>
        <w:rPr>
          <w:rFonts w:hint="default" w:ascii="Times New Roman Regular" w:hAnsi="Times New Roman Regular" w:cs="Times New Roman Regular"/>
        </w:rPr>
      </w:pPr>
      <w:r>
        <w:rPr>
          <w:rFonts w:hint="default" w:ascii="Times New Roman Regular" w:hAnsi="Times New Roman Regular" w:cs="Times New Roman Regular"/>
        </w:rPr>
        <w:t>Table 2  —  Notification events (email)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160"/>
        <w:gridCol w:w="4200"/>
      </w:tblGrid>
      <w:tr w14:paraId="16678A5F">
        <w:trPr>
          <w:tblHeader/>
        </w:trPr>
        <w:tc>
          <w:tcPr>
            <w:tcW w:w="30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4309A65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Event</w:t>
            </w:r>
          </w:p>
        </w:tc>
        <w:tc>
          <w:tcPr>
            <w:tcW w:w="216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1A2F068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Recipient(s)</w:t>
            </w:r>
          </w:p>
        </w:tc>
        <w:tc>
          <w:tcPr>
            <w:tcW w:w="42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0647646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Key contents</w:t>
            </w:r>
          </w:p>
        </w:tc>
      </w:tr>
      <w:tr w14:paraId="20D6F0E2">
        <w:tc>
          <w:tcPr>
            <w:tcW w:w="30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C9EF9D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Registration confirmed</w:t>
            </w:r>
          </w:p>
        </w:tc>
        <w:tc>
          <w:tcPr>
            <w:tcW w:w="21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CC446D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2A7207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Confirms registration; next step is to submit the case-study letter and form</w:t>
            </w:r>
          </w:p>
        </w:tc>
      </w:tr>
      <w:tr w14:paraId="7944924D">
        <w:tc>
          <w:tcPr>
            <w:tcW w:w="30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F725CD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Case letter approved</w:t>
            </w:r>
          </w:p>
        </w:tc>
        <w:tc>
          <w:tcPr>
            <w:tcW w:w="21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2914297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794B184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Letter approved; preliminary requirements issued; now entering Prototype Review</w:t>
            </w:r>
          </w:p>
        </w:tc>
      </w:tr>
      <w:tr w14:paraId="1B9F3B07">
        <w:tc>
          <w:tcPr>
            <w:tcW w:w="30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02D7F1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granted</w:t>
            </w:r>
          </w:p>
        </w:tc>
        <w:tc>
          <w:tcPr>
            <w:tcW w:w="21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12A318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DC9B68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approved; next step is to submit the proposal book</w:t>
            </w:r>
          </w:p>
        </w:tc>
      </w:tr>
      <w:tr w14:paraId="66DF68BC">
        <w:tc>
          <w:tcPr>
            <w:tcW w:w="30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D213FA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needs refinement</w:t>
            </w:r>
          </w:p>
        </w:tc>
        <w:tc>
          <w:tcPr>
            <w:tcW w:w="21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4443E6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E2265B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C0392B"/>
                <w:sz w:val="22"/>
                <w:szCs w:val="22"/>
              </w:rPr>
              <w:t>What to improve before re-presenting</w:t>
            </w:r>
          </w:p>
        </w:tc>
      </w:tr>
      <w:tr w14:paraId="26F0F623">
        <w:tc>
          <w:tcPr>
            <w:tcW w:w="30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0BF195E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accepted</w:t>
            </w:r>
          </w:p>
        </w:tc>
        <w:tc>
          <w:tcPr>
            <w:tcW w:w="21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DFE061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C07E97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accepted; a supervisor will be assigned</w:t>
            </w:r>
          </w:p>
        </w:tc>
      </w:tr>
      <w:tr w14:paraId="701905D6">
        <w:tc>
          <w:tcPr>
            <w:tcW w:w="30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1712EF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rejected</w:t>
            </w:r>
          </w:p>
        </w:tc>
        <w:tc>
          <w:tcPr>
            <w:tcW w:w="21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20AF926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43CE4F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C0392B"/>
                <w:sz w:val="22"/>
                <w:szCs w:val="22"/>
              </w:rPr>
              <w:t>The reason and what to fix before resubmitting</w:t>
            </w:r>
          </w:p>
        </w:tc>
      </w:tr>
      <w:tr w14:paraId="30CCFF93">
        <w:tc>
          <w:tcPr>
            <w:tcW w:w="30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EAB7A5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Supervisor assigned</w:t>
            </w:r>
          </w:p>
        </w:tc>
        <w:tc>
          <w:tcPr>
            <w:tcW w:w="21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58DB40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72CF01D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The supervisor’s name and a one-click link to join the supervisor’s WhatsApp group</w:t>
            </w:r>
          </w:p>
        </w:tc>
      </w:tr>
      <w:tr w14:paraId="63D8ABDB">
        <w:tc>
          <w:tcPr>
            <w:tcW w:w="30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D4F828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Supervisor assigned</w:t>
            </w:r>
          </w:p>
        </w:tc>
        <w:tc>
          <w:tcPr>
            <w:tcW w:w="21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26158AB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Supervisor</w:t>
            </w:r>
          </w:p>
        </w:tc>
        <w:tc>
          <w:tcPr>
            <w:tcW w:w="42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5AB4C7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name(s) of the newly assigned student(s)</w:t>
            </w:r>
          </w:p>
        </w:tc>
      </w:tr>
      <w:tr w14:paraId="2A799C1C">
        <w:tc>
          <w:tcPr>
            <w:tcW w:w="30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805E73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Assigned to conduct a pre-defense</w:t>
            </w:r>
          </w:p>
        </w:tc>
        <w:tc>
          <w:tcPr>
            <w:tcW w:w="21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B1ED05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Examiner</w:t>
            </w:r>
          </w:p>
        </w:tc>
        <w:tc>
          <w:tcPr>
            <w:tcW w:w="42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4F872B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The student(s) assigned for pre-defense, with the schedule (defense panels work the same way)</w:t>
            </w:r>
          </w:p>
        </w:tc>
      </w:tr>
      <w:tr w14:paraId="57C516EA">
        <w:tc>
          <w:tcPr>
            <w:tcW w:w="30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EA7786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Reached pre-defense</w:t>
            </w:r>
          </w:p>
        </w:tc>
        <w:tc>
          <w:tcPr>
            <w:tcW w:w="21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F61182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11C9DE2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Confirms the book has moved to pre-defense, with the schedule / details</w:t>
            </w:r>
          </w:p>
        </w:tc>
      </w:tr>
      <w:tr w14:paraId="3FE45120">
        <w:tc>
          <w:tcPr>
            <w:tcW w:w="30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ACCDD3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Defense scheduled / result</w:t>
            </w:r>
          </w:p>
        </w:tc>
        <w:tc>
          <w:tcPr>
            <w:tcW w:w="21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54EEE0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Student</w:t>
            </w:r>
          </w:p>
        </w:tc>
        <w:tc>
          <w:tcPr>
            <w:tcW w:w="42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FCED4E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defense date, and afterwards the result or required revisions</w:t>
            </w:r>
          </w:p>
        </w:tc>
      </w:tr>
    </w:tbl>
    <w:p w14:paraId="77C119F8">
      <w:pPr>
        <w:spacing w:after="140" w:line="360" w:lineRule="auto"/>
        <w:rPr>
          <w:rFonts w:hint="default" w:ascii="Times New Roman Regular" w:hAnsi="Times New Roman Regular" w:cs="Times New Roman Regular"/>
        </w:rPr>
      </w:pPr>
      <w:r>
        <w:rPr>
          <w:rFonts w:hint="default" w:ascii="Times New Roman Regular" w:hAnsi="Times New Roman Regular" w:cs="Times New Roman Regular"/>
        </w:rPr>
        <w:t>The system sends only these defined emails; there is no separate announcements feature. Each email is a template that can be tailored — for example, the message telling a student that a supervisor has been assigned carries the supervisor’s name and the one-click link to join the WhatsApp group. General announcements are handled outside the system.</w:t>
      </w:r>
    </w:p>
    <w:p w14:paraId="4790A813">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7.  Pre-defense and defense panels</w:t>
      </w:r>
    </w:p>
    <w:p w14:paraId="5231741B">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pre-defense and defense are conducted by examiners — eligible supervisors assigned to a student for this purpose. The flow moves forward from pre-defense to defense and does not return the student to their own supervisor.</w:t>
      </w:r>
    </w:p>
    <w:p w14:paraId="655684D4">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Assignment and alert: </w:t>
      </w:r>
      <w:r>
        <w:rPr>
          <w:rFonts w:hint="default" w:ascii="Times New Roman Regular" w:hAnsi="Times New Roman Regular" w:cs="Times New Roman Regular"/>
        </w:rPr>
        <w:t>the facilitator assigns the examiner(s) for a student’s pre-defense (and the defense panel the same way), and the system emails each examiner the student(s) assigned, with the schedule.</w:t>
      </w:r>
    </w:p>
    <w:p w14:paraId="5657F028">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Recording the outcome: </w:t>
      </w:r>
      <w:r>
        <w:rPr>
          <w:rFonts w:hint="default" w:ascii="Times New Roman Regular" w:hAnsi="Times New Roman Regular" w:cs="Times New Roman Regular"/>
        </w:rPr>
        <w:t>the examiner updates the status of students who have completed their pre-defense — for example, completed and cleared to proceed to defense — and the panel records the defense result.</w:t>
      </w:r>
    </w:p>
    <w:p w14:paraId="3DB81F3A">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Independent of supervision: </w:t>
      </w:r>
      <w:r>
        <w:rPr>
          <w:rFonts w:hint="default" w:ascii="Times New Roman Regular" w:hAnsi="Times New Roman Regular" w:cs="Times New Roman Regular"/>
        </w:rPr>
        <w:t>an examiner’s assigned students are tracked separately from the students they supervise, and the two are never merged. A person can supervise some students and examine others at the same time; the system keeps these assignments, and their notifications, distinct so they do not conflict.</w:t>
      </w:r>
    </w:p>
    <w:p w14:paraId="7B7CAB4B">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8.  Facilitator and Superadmin roles</w:t>
      </w:r>
    </w:p>
    <w:p w14:paraId="5D6E55FC">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Alongside the people who move through the workflow, two cross-cutting roles keep the system running day to day.</w:t>
      </w:r>
    </w:p>
    <w:p w14:paraId="56A12E7D">
      <w:pPr>
        <w:pStyle w:val="3"/>
        <w:spacing w:line="360" w:lineRule="auto"/>
        <w:rPr>
          <w:rFonts w:hint="default" w:ascii="Times New Roman Regular" w:hAnsi="Times New Roman Regular" w:cs="Times New Roman Regular"/>
        </w:rPr>
      </w:pPr>
      <w:r>
        <w:rPr>
          <w:rFonts w:hint="default" w:ascii="Times New Roman Regular" w:hAnsi="Times New Roman Regular" w:cs="Times New Roman Regular"/>
        </w:rPr>
        <w:t>8.1  Facilitator (assistant)</w:t>
      </w:r>
    </w:p>
    <w:p w14:paraId="602734DD">
      <w:pPr>
        <w:spacing w:after="80" w:line="360" w:lineRule="auto"/>
        <w:rPr>
          <w:rFonts w:hint="default" w:ascii="Times New Roman Regular" w:hAnsi="Times New Roman Regular" w:cs="Times New Roman Regular"/>
        </w:rPr>
      </w:pPr>
      <w:r>
        <w:rPr>
          <w:rFonts w:hint="default" w:ascii="Times New Roman Regular" w:hAnsi="Times New Roman Regular" w:cs="Times New Roman Regular"/>
        </w:rPr>
        <w:t>The facilitator is the middle-person for the whole process — the day-to-day coordinator between students, supervisors, examiners and the HOD. The role is operational rather than decision-making. The facilitator can:</w:t>
      </w:r>
    </w:p>
    <w:p w14:paraId="0C73AC36">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See the full picture: </w:t>
      </w:r>
      <w:r>
        <w:rPr>
          <w:rFonts w:hint="default" w:ascii="Times New Roman Regular" w:hAnsi="Times New Roman Regular" w:cs="Times New Roman Regular"/>
        </w:rPr>
        <w:t>view every student’s state and timeline across all stages.</w:t>
      </w:r>
    </w:p>
    <w:p w14:paraId="1D830C0C">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Keep the workflow moving: </w:t>
      </w:r>
      <w:r>
        <w:rPr>
          <w:rFonts w:hint="default" w:ascii="Times New Roman Regular" w:hAnsi="Times New Roman Regular" w:cs="Times New Roman Regular"/>
        </w:rPr>
        <w:t>coordinate the day-to-day steps, group and segment students, and follow up on anything pending.</w:t>
      </w:r>
    </w:p>
    <w:p w14:paraId="6E1E9827">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Assign pre-defense and defense examiners: </w:t>
      </w:r>
      <w:r>
        <w:rPr>
          <w:rFonts w:hint="default" w:ascii="Times New Roman Regular" w:hAnsi="Times New Roman Regular" w:cs="Times New Roman Regular"/>
        </w:rPr>
        <w:t>assign the examiner(s) for each student’s pre-defense and defense; the system then alerts them by email.</w:t>
      </w:r>
    </w:p>
    <w:p w14:paraId="5141F540">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Coordinate assignment and communication: </w:t>
      </w:r>
      <w:r>
        <w:rPr>
          <w:rFonts w:hint="default" w:ascii="Times New Roman Regular" w:hAnsi="Times New Roman Regular" w:cs="Times New Roman Regular"/>
        </w:rPr>
        <w:t>check that supervisors are assigned and that the right emails have gone out, and chase those that have not.</w:t>
      </w:r>
    </w:p>
    <w:p w14:paraId="3D6464DA">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Maintain supporting details: </w:t>
      </w:r>
      <w:r>
        <w:rPr>
          <w:rFonts w:hint="default" w:ascii="Times New Roman Regular" w:hAnsi="Times New Roman Regular" w:cs="Times New Roman Regular"/>
        </w:rPr>
        <w:t>keep group and contact records up to date; supervisors provide their own WhatsApp group links.</w:t>
      </w:r>
    </w:p>
    <w:p w14:paraId="5DB9787C">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facilitator coordinates the journey from registration through to defense, and their role for a student ends once that student has defended. They do not make the academic decisions reserved for the HOD (approving letters, issuing requirements, assigning supervisors, final outcomes), and do not have the unrestricted access of the superadmin.</w:t>
      </w:r>
    </w:p>
    <w:p w14:paraId="406CAD7B">
      <w:pPr>
        <w:pStyle w:val="3"/>
        <w:spacing w:line="360" w:lineRule="auto"/>
        <w:rPr>
          <w:rFonts w:hint="default" w:ascii="Times New Roman Regular" w:hAnsi="Times New Roman Regular" w:cs="Times New Roman Regular"/>
        </w:rPr>
      </w:pPr>
      <w:r>
        <w:rPr>
          <w:rFonts w:hint="default" w:ascii="Times New Roman Regular" w:hAnsi="Times New Roman Regular" w:cs="Times New Roman Regular"/>
        </w:rPr>
        <w:t>8.2  Superadmin</w:t>
      </w:r>
    </w:p>
    <w:p w14:paraId="5F5AB3D4">
      <w:pPr>
        <w:spacing w:after="80" w:line="360" w:lineRule="auto"/>
        <w:rPr>
          <w:rFonts w:hint="default" w:ascii="Times New Roman Regular" w:hAnsi="Times New Roman Regular" w:cs="Times New Roman Regular"/>
        </w:rPr>
      </w:pPr>
      <w:r>
        <w:rPr>
          <w:rFonts w:hint="default" w:ascii="Times New Roman Regular" w:hAnsi="Times New Roman Regular" w:cs="Times New Roman Regular"/>
        </w:rPr>
        <w:t>The superadmin is the system owner account, with full access to every function and all data. It keeps the system healthy and is used sparingly. The superadmin can:</w:t>
      </w:r>
    </w:p>
    <w:p w14:paraId="51EC5F9D">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Manage users &amp; access: </w:t>
      </w:r>
      <w:r>
        <w:rPr>
          <w:rFonts w:hint="default" w:ascii="Times New Roman Regular" w:hAnsi="Times New Roman Regular" w:cs="Times New Roman Regular"/>
        </w:rPr>
        <w:t>create, enable and disable accounts; assign roles (HOD, supervisor, examiner, facilitator, student); and reset passwords.</w:t>
      </w:r>
    </w:p>
    <w:p w14:paraId="1F18DEE4">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Monitor everything: </w:t>
      </w:r>
      <w:r>
        <w:rPr>
          <w:rFonts w:hint="default" w:ascii="Times New Roman Regular" w:hAnsi="Times New Roman Regular" w:cs="Times New Roman Regular"/>
        </w:rPr>
        <w:t>view all records and every log — the audit log of who changed what, the notification log and email delivery status, and overall system activity and health.</w:t>
      </w:r>
    </w:p>
    <w:p w14:paraId="7AA6BFFA">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Configure the system: </w:t>
      </w:r>
      <w:r>
        <w:rPr>
          <w:rFonts w:hint="default" w:ascii="Times New Roman Regular" w:hAnsi="Times New Roman Regular" w:cs="Times New Roman Regular"/>
        </w:rPr>
        <w:t>manage settings — the email integration, the one-year retention period, the prototype-API connection, and the lists of eligible examiners and facilitators.</w:t>
      </w:r>
    </w:p>
    <w:p w14:paraId="0FA36A4D">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Oversee data protection: </w:t>
      </w:r>
      <w:r>
        <w:rPr>
          <w:rFonts w:hint="default" w:ascii="Times New Roman Regular" w:hAnsi="Times New Roman Regular" w:cs="Times New Roman Regular"/>
        </w:rPr>
        <w:t>enforce retention, review access logs, and correct or remove records when required (every such action is itself logged).</w:t>
      </w:r>
    </w:p>
    <w:p w14:paraId="0BEE1C84">
      <w:pPr>
        <w:pStyle w:val="16"/>
        <w:numPr>
          <w:ilvl w:val="0"/>
          <w:numId w:val="1"/>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Act anywhere when needed: </w:t>
      </w:r>
      <w:r>
        <w:rPr>
          <w:rFonts w:hint="default" w:ascii="Times New Roman Regular" w:hAnsi="Times New Roman Regular" w:cs="Times New Roman Regular"/>
        </w:rPr>
        <w:t>step into any stage of the workflow — for example to fix a mistaken state — with every action recorded against the superadmin.</w:t>
      </w:r>
    </w:p>
    <w:p w14:paraId="42812BFC">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Because this account can see and change everything, it is held by a single trusted individual, protected with a strong sign-in, and all of its actions remain in the immutable audit log.</w:t>
      </w:r>
    </w:p>
    <w:p w14:paraId="0D9E914C">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9.  What the system records (and the gaps it closes)</w:t>
      </w:r>
    </w:p>
    <w:p w14:paraId="78E95B58">
      <w:pPr>
        <w:spacing w:after="120" w:line="360" w:lineRule="auto"/>
        <w:rPr>
          <w:rFonts w:hint="default" w:ascii="Times New Roman Regular" w:hAnsi="Times New Roman Regular" w:cs="Times New Roman Regular"/>
        </w:rPr>
      </w:pPr>
      <w:r>
        <w:rPr>
          <w:rFonts w:hint="default" w:ascii="Times New Roman Regular" w:hAnsi="Times New Roman Regular" w:cs="Times New Roman Regular"/>
        </w:rPr>
        <w:t>The table below summarises what the system records at each stage and where today’s gaps are.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0"/>
        <w:gridCol w:w="4560"/>
        <w:gridCol w:w="2520"/>
      </w:tblGrid>
      <w:tr w14:paraId="69DABC10">
        <w:trPr>
          <w:tblHeader/>
        </w:trPr>
        <w:tc>
          <w:tcPr>
            <w:tcW w:w="228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4B12369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Stage</w:t>
            </w:r>
          </w:p>
        </w:tc>
        <w:tc>
          <w:tcPr>
            <w:tcW w:w="456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3F9338F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What the system records</w:t>
            </w:r>
          </w:p>
        </w:tc>
        <w:tc>
          <w:tcPr>
            <w:tcW w:w="252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1B2F1D2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Status today</w:t>
            </w:r>
          </w:p>
        </w:tc>
      </w:tr>
      <w:tr w14:paraId="2EBA0425">
        <w:tc>
          <w:tcPr>
            <w:tcW w:w="228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6C1564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Registration</w:t>
            </w:r>
          </w:p>
        </w:t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602387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HOD-uploaded list of students who registered via the portal, with verified email</w:t>
            </w:r>
          </w:p>
        </w:tc>
        <w:tc>
          <w:tcPr>
            <w:tcW w:w="252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02AB6CD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5B6B7B"/>
                <w:sz w:val="22"/>
                <w:szCs w:val="22"/>
              </w:rPr>
              <w:t>Manual, outside system</w:t>
            </w:r>
          </w:p>
        </w:tc>
      </w:tr>
      <w:tr w14:paraId="55D4539A">
        <w:tc>
          <w:tcPr>
            <w:tcW w:w="228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21E9C1C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Case letter</w:t>
            </w:r>
          </w:p>
        </w:tc>
        <w:tc>
          <w:tcPr>
            <w:tcW w:w="45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602171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Letter and form submission; approval decision</w:t>
            </w:r>
          </w:p>
        </w:tc>
        <w:tc>
          <w:tcPr>
            <w:tcW w:w="252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29B5C9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5B6B7B"/>
                <w:sz w:val="22"/>
                <w:szCs w:val="22"/>
              </w:rPr>
              <w:t>Partly tracked</w:t>
            </w:r>
          </w:p>
        </w:tc>
      </w:tr>
      <w:tr w14:paraId="127C322F">
        <w:tc>
          <w:tcPr>
            <w:tcW w:w="228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57C783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 review</w:t>
            </w:r>
          </w:p>
        </w:t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6C4EEC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Schedule, number of presentations, and decisions — pulled via API</w:t>
            </w:r>
          </w:p>
        </w:tc>
        <w:tc>
          <w:tcPr>
            <w:tcW w:w="252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4EF982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C0392B"/>
                <w:sz w:val="22"/>
                <w:szCs w:val="22"/>
              </w:rPr>
              <w:t>Gap: attempts not counted</w:t>
            </w:r>
          </w:p>
        </w:tc>
      </w:tr>
      <w:tr w14:paraId="3CDBBEF4">
        <w:tc>
          <w:tcPr>
            <w:tcW w:w="228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63350B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review</w:t>
            </w:r>
          </w:p>
        </w:tc>
        <w:tc>
          <w:tcPr>
            <w:tcW w:w="45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045511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Each submission with accept/reject outcome, reason, and attempt number</w:t>
            </w:r>
          </w:p>
        </w:tc>
        <w:tc>
          <w:tcPr>
            <w:tcW w:w="252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1D8C95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C0392B"/>
                <w:sz w:val="22"/>
                <w:szCs w:val="22"/>
              </w:rPr>
              <w:t>Gap: rejections not recorded</w:t>
            </w:r>
          </w:p>
        </w:tc>
      </w:tr>
      <w:tr w14:paraId="42ACFA74">
        <w:tc>
          <w:tcPr>
            <w:tcW w:w="228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8E5348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Supervision</w:t>
            </w:r>
          </w:p>
        </w:t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A984DC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Weekly availability, the meeting date and time confirmed by the supervisor, attendance, and book sign-off</w:t>
            </w:r>
          </w:p>
        </w:tc>
        <w:tc>
          <w:tcPr>
            <w:tcW w:w="252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1EC7B3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C0392B"/>
                <w:sz w:val="22"/>
                <w:szCs w:val="22"/>
              </w:rPr>
              <w:t>Gap — primary focus</w:t>
            </w:r>
          </w:p>
        </w:tc>
      </w:tr>
      <w:tr w14:paraId="23ABD640">
        <w:tc>
          <w:tcPr>
            <w:tcW w:w="228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5167888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Pre-defense</w:t>
            </w:r>
          </w:p>
        </w:tc>
        <w:tc>
          <w:tcPr>
            <w:tcW w:w="45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83D790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Date the book was submitted; the examiner(s) assigned; the pre-defense outcome</w:t>
            </w:r>
          </w:p>
        </w:tc>
        <w:tc>
          <w:tcPr>
            <w:tcW w:w="252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34C3A29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C0392B"/>
                <w:sz w:val="22"/>
                <w:szCs w:val="22"/>
              </w:rPr>
              <w:t>Gap — secondary</w:t>
            </w:r>
          </w:p>
        </w:tc>
      </w:tr>
      <w:tr w14:paraId="09D3E394">
        <w:tc>
          <w:tcPr>
            <w:tcW w:w="228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14A29F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Defense</w:t>
            </w:r>
          </w:p>
        </w:t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B70AAA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Defense panel assigned; schedule and final result</w:t>
            </w:r>
          </w:p>
        </w:tc>
        <w:tc>
          <w:tcPr>
            <w:tcW w:w="252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C8D5F6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5B6B7B"/>
                <w:sz w:val="22"/>
                <w:szCs w:val="22"/>
              </w:rPr>
              <w:t>Partly tracked</w:t>
            </w:r>
          </w:p>
        </w:tc>
      </w:tr>
      <w:tr w14:paraId="0E14D433">
        <w:tc>
          <w:tcPr>
            <w:tcW w:w="228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F8E145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Panels (examiners)</w:t>
            </w:r>
          </w:p>
        </w:tc>
        <w:tc>
          <w:tcPr>
            <w:tcW w:w="456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09BB767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Which examiner is assigned to which student, kept independent of supervision</w:t>
            </w:r>
          </w:p>
        </w:tc>
        <w:tc>
          <w:tcPr>
            <w:tcW w:w="2520" w:type="dxa"/>
            <w:tcBorders>
              <w:top w:val="single" w:color="C9D3DE" w:sz="0" w:space="0"/>
              <w:left w:val="single" w:color="C9D3DE" w:sz="0" w:space="0"/>
              <w:bottom w:val="single" w:color="C9D3DE" w:sz="0" w:space="0"/>
              <w:right w:val="single" w:color="C9D3DE" w:sz="0" w:space="0"/>
            </w:tcBorders>
            <w:shd w:val="clear" w:color="auto" w:fill="EAF0F6"/>
            <w:tcMar>
              <w:top w:w="60" w:type="dxa"/>
              <w:left w:w="120" w:type="dxa"/>
              <w:bottom w:w="60" w:type="dxa"/>
              <w:right w:w="120" w:type="dxa"/>
            </w:tcMar>
            <w:vAlign w:val="center"/>
          </w:tcPr>
          <w:p w14:paraId="4089BDF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1F3A5F"/>
                <w:sz w:val="22"/>
                <w:szCs w:val="22"/>
              </w:rPr>
              <w:t>New</w:t>
            </w:r>
          </w:p>
        </w:tc>
      </w:tr>
      <w:tr w14:paraId="7D0F28C4">
        <w:tc>
          <w:tcPr>
            <w:tcW w:w="228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B34596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Communications</w:t>
            </w:r>
          </w:p>
        </w:t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806A14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Every email sent: recipient, time, contents, and delivery status</w:t>
            </w:r>
          </w:p>
        </w:tc>
        <w:tc>
          <w:tcPr>
            <w:tcW w:w="252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B23CE2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1F3A5F"/>
                <w:sz w:val="22"/>
                <w:szCs w:val="22"/>
              </w:rPr>
              <w:t>New</w:t>
            </w:r>
          </w:p>
        </w:tc>
      </w:tr>
    </w:tbl>
    <w:p w14:paraId="776D7CC5">
      <w:pPr>
        <w:spacing w:before="160"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Three gaps this system closes:</w:t>
      </w:r>
    </w:p>
    <w:p w14:paraId="21E9FE54">
      <w:pPr>
        <w:pStyle w:val="16"/>
        <w:numPr>
          <w:ilvl w:val="0"/>
          <w:numId w:val="2"/>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Prototype attempt visibility. </w:t>
      </w:r>
      <w:r>
        <w:rPr>
          <w:rFonts w:hint="default" w:ascii="Times New Roman Regular" w:hAnsi="Times New Roman Regular" w:cs="Times New Roman Regular"/>
        </w:rPr>
        <w:t xml:space="preserve"> Enter a student ID and the system shows, from the external prototype system, the schedule, the number of presentations before the prototype was granted, and the decisions. The last result is cached so it is still available if that system is offline during a dispute.</w:t>
      </w:r>
    </w:p>
    <w:p w14:paraId="1C3BBAC5">
      <w:pPr>
        <w:pStyle w:val="16"/>
        <w:numPr>
          <w:ilvl w:val="0"/>
          <w:numId w:val="2"/>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Proposal rejection trail. </w:t>
      </w:r>
      <w:r>
        <w:rPr>
          <w:rFonts w:hint="default" w:ascii="Times New Roman Regular" w:hAnsi="Times New Roman Regular" w:cs="Times New Roman Regular"/>
        </w:rPr>
        <w:t xml:space="preserve"> If a book was submitted three times and rejected twice, that is recorded with reasons — provable rather than anecdotal.</w:t>
      </w:r>
    </w:p>
    <w:p w14:paraId="1B5AF1BC">
      <w:pPr>
        <w:pStyle w:val="16"/>
        <w:numPr>
          <w:ilvl w:val="0"/>
          <w:numId w:val="2"/>
        </w:numPr>
        <w:spacing w:after="90" w:line="360" w:lineRule="auto"/>
        <w:rPr>
          <w:rFonts w:hint="default" w:ascii="Times New Roman Regular" w:hAnsi="Times New Roman Regular" w:cs="Times New Roman Regular"/>
        </w:rPr>
      </w:pPr>
      <w:r>
        <w:rPr>
          <w:rFonts w:hint="default" w:ascii="Times New Roman Regular" w:hAnsi="Times New Roman Regular" w:cs="Times New Roman Regular"/>
          <w:b/>
          <w:bCs/>
        </w:rPr>
        <w:t xml:space="preserve">Supervision and panel accountability. </w:t>
      </w:r>
      <w:r>
        <w:rPr>
          <w:rFonts w:hint="default" w:ascii="Times New Roman Regular" w:hAnsi="Times New Roman Regular" w:cs="Times New Roman Regular"/>
        </w:rPr>
        <w:t xml:space="preserve"> Supervisors post availability, confirm meeting dates and times, and sign off; examiners are assigned and record pre-defense and defense outcomes. Every event is timestamped, turning the log into evidence neither side can later deny.</w:t>
      </w:r>
    </w:p>
    <w:p w14:paraId="2A12A394">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10.  Delivery approach</w:t>
      </w:r>
    </w:p>
    <w:p w14:paraId="0895A0F2">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Work is delivered in timeboxed increments, prioritised with the MoSCoW scheme in Section 13. The department chooses what ships first; each increment is verified and corrected before the next begins. The detailed sequence is in the companion Incremental Delivery Plan.</w:t>
      </w:r>
    </w:p>
    <w:p w14:paraId="0CBA269B">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11.  Security &amp; data protection</w:t>
      </w:r>
    </w:p>
    <w:p w14:paraId="7DE0DBD4">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Security and data protection are requirements of every increment, not a later addition. The system holds personal data — names, student IDs, and email addresses — taken from the registrar, so it applies data-protection practice: it collects only what is needed, stores it securely (encrypted in transit and at rest), restricts access by role, keeps personal data for one year (after which it is removed or anonymised), and logs who reads or changes a record. This is intended to align with Rwanda’s personal data protection and privacy law (Law N° 058/2021), supervised by the National Cyber Security Authority.</w:t>
      </w:r>
    </w:p>
    <w:p w14:paraId="50CC35EB">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Students do not give consent inside this system; their consent is obtained by the registrar when they provide their data, and the system relies on that lawful basis, processing only the data the registrar supplies. Access to prototype data is limited to the HOD and the superadmin. Notifications are sent only to the verified address held for a person. The notification log and the event audit log are immutable, because the purpose of the system is to resolve disputes from a reliable record.</w:t>
      </w:r>
    </w:p>
    <w:p w14:paraId="1A68EE66">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12.  Architecture &amp; scale</w:t>
      </w:r>
    </w:p>
    <w:p w14:paraId="707BDB4F">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system integrates with two external services, each behind a thin adapter so a change on the other side affects only one component: the prototype-review system (read-only, queried by student ID) and the email provider.</w:t>
      </w:r>
    </w:p>
    <w:p w14:paraId="1E391A64">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prototype-review API contract is not yet finalised. The integration is built now, against an assumed contract and behind that adapter, with a temporary stub standing in for the real service; when the contract is confirmed, only the adapter changes.</w:t>
      </w:r>
    </w:p>
    <w:p w14:paraId="1369CC2F">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WhatsApp uses free group links rather than a messaging API. The data model stores one or more links, and a contact number, per supervisor or team, so additional team links can be added later without changing the design; emails and the app surface these as one-click buttons.</w:t>
      </w:r>
    </w:p>
    <w:p w14:paraId="27D975F0">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system is designed for roughly 500–1000 students and 10–50 supervisors per cycle. A relational database (PostgreSQL) with appropriate indexing handles this volume comfortably, and Redis is recommended for caching frequently-read data such as student timelines and lookups, for session storage, and to support the notification queue. Notifications are sent asynchronously through the queue so email never blocks the rest of the system, and failed sends are retried and recorded.</w:t>
      </w:r>
    </w:p>
    <w:p w14:paraId="5EF692D4">
      <w:pPr>
        <w:spacing w:after="160" w:line="360" w:lineRule="auto"/>
        <w:rPr>
          <w:rFonts w:hint="default" w:ascii="Times New Roman Regular" w:hAnsi="Times New Roman Regular" w:cs="Times New Roman Regular"/>
        </w:rPr>
      </w:pPr>
      <w:r>
        <w:rPr>
          <w:rFonts w:hint="default" w:ascii="Times New Roman Regular" w:hAnsi="Times New Roman Regular" w:cs="Times New Roman Regular"/>
        </w:rPr>
        <w:t>The two systems remain separate; this platform is the system of record for the journey and treats prototype data as a read-only source.</w:t>
      </w:r>
    </w:p>
    <w:p w14:paraId="4A08239D">
      <w:pPr>
        <w:pStyle w:val="2"/>
        <w:spacing w:line="360" w:lineRule="auto"/>
        <w:rPr>
          <w:rFonts w:hint="default" w:ascii="Times New Roman Regular" w:hAnsi="Times New Roman Regular" w:cs="Times New Roman Regular"/>
        </w:rPr>
      </w:pPr>
      <w:r>
        <w:rPr>
          <w:rFonts w:hint="default" w:ascii="Times New Roman Regular" w:hAnsi="Times New Roman Regular" w:cs="Times New Roman Regular"/>
        </w:rPr>
        <w:t>13.  Prioritisation (MoSCoW)</w:t>
      </w:r>
    </w:p>
    <w:p w14:paraId="75AB6AA7">
      <w:pPr>
        <w:spacing w:after="120" w:line="360" w:lineRule="auto"/>
        <w:rPr>
          <w:rFonts w:hint="default" w:ascii="Times New Roman Regular" w:hAnsi="Times New Roman Regular" w:cs="Times New Roman Regular"/>
        </w:rPr>
      </w:pPr>
      <w:r>
        <w:rPr>
          <w:rFonts w:hint="default" w:ascii="Times New Roman Regular" w:hAnsi="Times New Roman Regular" w:cs="Times New Roman Regular"/>
        </w:rPr>
        <w:t>A first cut for the team to refine. Priority bands: Must (needed for a usable first release), Should (important, soon after), Could (nice to have), Won’t (explicitly out of this release).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60"/>
        <w:gridCol w:w="1400"/>
        <w:gridCol w:w="3400"/>
      </w:tblGrid>
      <w:tr w14:paraId="35E0FAE5">
        <w:trPr>
          <w:tblHeader/>
        </w:trPr>
        <w:tc>
          <w:tcPr>
            <w:tcW w:w="456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0F749F8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Capability</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5D153CB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Priority</w:t>
            </w:r>
          </w:p>
        </w:tc>
        <w:tc>
          <w:tcPr>
            <w:tcW w:w="3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6FB11F2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Note</w:t>
            </w:r>
          </w:p>
        </w:tc>
      </w:tr>
      <w:tr w14:paraId="102BE3D9">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E891AB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Registrar / Excel import of students with verified email</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3A2F549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AB1688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Source of identity and contact data</w:t>
            </w:r>
          </w:p>
        </w:tc>
      </w:tr>
      <w:tr w14:paraId="792EC06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86526D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State tracking and the per-student timeline</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65959C9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632A2C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spine of the system</w:t>
            </w:r>
          </w:p>
        </w:tc>
      </w:tr>
      <w:tr w14:paraId="17FAC46E">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2F1E3F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Role-based access, authentication, audit log</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3766B20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74110A0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Security baseline</w:t>
            </w:r>
          </w:p>
        </w:tc>
      </w:tr>
      <w:tr w14:paraId="79527245">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CBB86C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Account management, password reset &amp; full monitoring (single superadmin account)</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4CF9249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06EBD43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Run and protect a multi-user system</w:t>
            </w:r>
          </w:p>
        </w:tc>
      </w:tr>
      <w:tr w14:paraId="2A127734">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1DC66A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Supervision: availability, supervisor-confirmed meeting times, sign-off</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623EB8D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26C9A7D">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primary focus</w:t>
            </w:r>
          </w:p>
        </w:tc>
      </w:tr>
      <w:tr w14:paraId="473E648E">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FDAF1E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Proposal submission tracking (attempts + rejection reasons)</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1B4C55A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BBC9C9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Closes the rejection-trail gap</w:t>
            </w:r>
          </w:p>
        </w:tc>
      </w:tr>
      <w:tr w14:paraId="65EEF1EF">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1FE9219">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Milestone emails (incl. the supervisor-assignment email with WhatsApp link)</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24B4E75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1AE525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Core notification requirement</w:t>
            </w:r>
          </w:p>
        </w:tc>
      </w:tr>
      <w:tr w14:paraId="26607FDC">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309687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Notification log (proof of what was sent)</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0C32E8A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27AAE5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Part of the accountability record</w:t>
            </w:r>
          </w:p>
        </w:tc>
      </w:tr>
      <w:tr w14:paraId="6433A395">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E1D459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Data-protection controls (secure storage, restricted access, 1-year retention)</w:t>
            </w:r>
          </w:p>
        </w:tc>
        <w:tc>
          <w:tcPr>
            <w:tcW w:w="1400" w:type="dxa"/>
            <w:tcBorders>
              <w:top w:val="single" w:color="C9D3DE" w:sz="0" w:space="0"/>
              <w:left w:val="single" w:color="C9D3DE" w:sz="0" w:space="0"/>
              <w:bottom w:val="single" w:color="C9D3DE" w:sz="0" w:space="0"/>
              <w:right w:val="single" w:color="C9D3DE" w:sz="0" w:space="0"/>
            </w:tcBorders>
            <w:shd w:val="clear" w:color="auto" w:fill="1F3A5F"/>
            <w:tcMar>
              <w:top w:w="60" w:type="dxa"/>
              <w:left w:w="120" w:type="dxa"/>
              <w:bottom w:w="60" w:type="dxa"/>
              <w:right w:w="120" w:type="dxa"/>
            </w:tcMar>
            <w:vAlign w:val="center"/>
          </w:tcPr>
          <w:p w14:paraId="7A92BAC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Must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D8E375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Legal and ethical requirement</w:t>
            </w:r>
          </w:p>
        </w:tc>
      </w:tr>
      <w:tr w14:paraId="38197700">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32FBC0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Prototype-review API integration (adapter + stub against an assumed contract)</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6EC1E0D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82328D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Swap in the real API when its contract is ready</w:t>
            </w:r>
          </w:p>
        </w:tc>
      </w:tr>
      <w:tr w14:paraId="3DAB7978">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8A0034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Pre-defense / defense examiner assignment (by the facilitator), alert, and status update (independent of supervision)</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3B8D9D5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50639D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Panel-stage accountability — newly identified</w:t>
            </w:r>
          </w:p>
        </w:tc>
      </w:tr>
      <w:tr w14:paraId="26489861">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2CB3D8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WhatsApp group-link management &amp; one-click buttons (free links; multiple per supervisor/team)</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0F73FD2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2A4B00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Email carries the link; in-app buttons follow</w:t>
            </w:r>
          </w:p>
        </w:tc>
      </w:tr>
      <w:tr w14:paraId="57189A5F">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4688C0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Facilitator role: coordination and full-timeline view</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58511CC3">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F1F9E1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middle-person who keeps things moving</w:t>
            </w:r>
          </w:p>
        </w:tc>
      </w:tr>
      <w:tr w14:paraId="01E7EEB4">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ED933C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Redis caching layer</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4087F5D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A78988B">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Performance headroom at 500–1000 students</w:t>
            </w:r>
          </w:p>
        </w:tc>
      </w:tr>
      <w:tr w14:paraId="17EBAED3">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57B44D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Supervisor availability calendar UI</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6AE18E3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E1B6C7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Makes scheduling practical</w:t>
            </w:r>
          </w:p>
        </w:tc>
      </w:tr>
      <w:tr w14:paraId="3EA91B50">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59E4E9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Email delivery-status tracking (sent / failed / retried)</w:t>
            </w:r>
          </w:p>
        </w:tc>
        <w:tc>
          <w:tcPr>
            <w:tcW w:w="1400" w:type="dxa"/>
            <w:tcBorders>
              <w:top w:val="single" w:color="C9D3DE" w:sz="0" w:space="0"/>
              <w:left w:val="single" w:color="C9D3DE" w:sz="0" w:space="0"/>
              <w:bottom w:val="single" w:color="C9D3DE" w:sz="0" w:space="0"/>
              <w:right w:val="single" w:color="C9D3DE" w:sz="0" w:space="0"/>
            </w:tcBorders>
            <w:shd w:val="clear" w:color="auto" w:fill="2E6FB5"/>
            <w:tcMar>
              <w:top w:w="60" w:type="dxa"/>
              <w:left w:w="120" w:type="dxa"/>
              <w:bottom w:w="60" w:type="dxa"/>
              <w:right w:w="120" w:type="dxa"/>
            </w:tcMar>
            <w:vAlign w:val="center"/>
          </w:tcPr>
          <w:p w14:paraId="35D410E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Should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5D4AF9C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Strengthens the proof</w:t>
            </w:r>
          </w:p>
        </w:tc>
      </w:tr>
      <w:tr w14:paraId="62C25B55">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64D69F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SMS notifications</w:t>
            </w:r>
          </w:p>
        </w:tc>
        <w:tc>
          <w:tcPr>
            <w:tcW w:w="1400" w:type="dxa"/>
            <w:tcBorders>
              <w:top w:val="single" w:color="C9D3DE" w:sz="0" w:space="0"/>
              <w:left w:val="single" w:color="C9D3DE" w:sz="0" w:space="0"/>
              <w:bottom w:val="single" w:color="C9D3DE" w:sz="0" w:space="0"/>
              <w:right w:val="single" w:color="C9D3DE" w:sz="0" w:space="0"/>
            </w:tcBorders>
            <w:shd w:val="clear" w:color="auto" w:fill="6E7B8A"/>
            <w:tcMar>
              <w:top w:w="60" w:type="dxa"/>
              <w:left w:w="120" w:type="dxa"/>
              <w:bottom w:w="60" w:type="dxa"/>
              <w:right w:w="120" w:type="dxa"/>
            </w:tcMar>
            <w:vAlign w:val="center"/>
          </w:tcPr>
          <w:p w14:paraId="31536E24">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Could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806B0D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For low-connectivity reach</w:t>
            </w:r>
          </w:p>
        </w:tc>
      </w:tr>
      <w:tr w14:paraId="370528CA">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74E8790E">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In-app notification centre</w:t>
            </w:r>
          </w:p>
        </w:tc>
        <w:tc>
          <w:tcPr>
            <w:tcW w:w="1400" w:type="dxa"/>
            <w:tcBorders>
              <w:top w:val="single" w:color="C9D3DE" w:sz="0" w:space="0"/>
              <w:left w:val="single" w:color="C9D3DE" w:sz="0" w:space="0"/>
              <w:bottom w:val="single" w:color="C9D3DE" w:sz="0" w:space="0"/>
              <w:right w:val="single" w:color="C9D3DE" w:sz="0" w:space="0"/>
            </w:tcBorders>
            <w:shd w:val="clear" w:color="auto" w:fill="6E7B8A"/>
            <w:tcMar>
              <w:top w:w="60" w:type="dxa"/>
              <w:left w:w="120" w:type="dxa"/>
              <w:bottom w:w="60" w:type="dxa"/>
              <w:right w:w="120" w:type="dxa"/>
            </w:tcMar>
            <w:vAlign w:val="center"/>
          </w:tcPr>
          <w:p w14:paraId="0B2372D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Could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481B59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Convenience alongside email</w:t>
            </w:r>
          </w:p>
        </w:tc>
      </w:tr>
      <w:tr w14:paraId="10FF1EB0">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3A71D2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Analytics on bottlenecks (e.g., average time per phase)</w:t>
            </w:r>
          </w:p>
        </w:tc>
        <w:tc>
          <w:tcPr>
            <w:tcW w:w="1400" w:type="dxa"/>
            <w:tcBorders>
              <w:top w:val="single" w:color="C9D3DE" w:sz="0" w:space="0"/>
              <w:left w:val="single" w:color="C9D3DE" w:sz="0" w:space="0"/>
              <w:bottom w:val="single" w:color="C9D3DE" w:sz="0" w:space="0"/>
              <w:right w:val="single" w:color="C9D3DE" w:sz="0" w:space="0"/>
            </w:tcBorders>
            <w:shd w:val="clear" w:color="auto" w:fill="6E7B8A"/>
            <w:tcMar>
              <w:top w:w="60" w:type="dxa"/>
              <w:left w:w="120" w:type="dxa"/>
              <w:bottom w:w="60" w:type="dxa"/>
              <w:right w:w="120" w:type="dxa"/>
            </w:tcMar>
            <w:vAlign w:val="center"/>
          </w:tcPr>
          <w:p w14:paraId="34491B6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FFFFFF"/>
                <w:sz w:val="22"/>
                <w:szCs w:val="22"/>
              </w:rPr>
              <w:t>Could</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BF4C73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Insight, not core</w:t>
            </w:r>
          </w:p>
        </w:tc>
      </w:tr>
      <w:tr w14:paraId="44AB3F8F">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76EBCE8F">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General announcements / broadcast messaging</w:t>
            </w:r>
          </w:p>
        </w:tc>
        <w:tc>
          <w:tcPr>
            <w:tcW w:w="1400" w:type="dxa"/>
            <w:tcBorders>
              <w:top w:val="single" w:color="C9D3DE" w:sz="0" w:space="0"/>
              <w:left w:val="single" w:color="C9D3DE" w:sz="0" w:space="0"/>
              <w:bottom w:val="single" w:color="C9D3DE" w:sz="0" w:space="0"/>
              <w:right w:val="single" w:color="C9D3DE" w:sz="0" w:space="0"/>
            </w:tcBorders>
            <w:shd w:val="clear" w:color="auto" w:fill="C9D3DE"/>
            <w:tcMar>
              <w:top w:w="60" w:type="dxa"/>
              <w:left w:w="120" w:type="dxa"/>
              <w:bottom w:w="60" w:type="dxa"/>
              <w:right w:w="120" w:type="dxa"/>
            </w:tcMar>
            <w:vAlign w:val="center"/>
          </w:tcPr>
          <w:p w14:paraId="113DE02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Won’t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A08D9B2">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Handled outside the system</w:t>
            </w:r>
          </w:p>
        </w:tc>
      </w:tr>
      <w:tr w14:paraId="68474BD4">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3E000BF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Building or replacing the prototype-review system</w:t>
            </w:r>
          </w:p>
        </w:tc>
        <w:tc>
          <w:tcPr>
            <w:tcW w:w="1400" w:type="dxa"/>
            <w:tcBorders>
              <w:top w:val="single" w:color="C9D3DE" w:sz="0" w:space="0"/>
              <w:left w:val="single" w:color="C9D3DE" w:sz="0" w:space="0"/>
              <w:bottom w:val="single" w:color="C9D3DE" w:sz="0" w:space="0"/>
              <w:right w:val="single" w:color="C9D3DE" w:sz="0" w:space="0"/>
            </w:tcBorders>
            <w:shd w:val="clear" w:color="auto" w:fill="C9D3DE"/>
            <w:tcMar>
              <w:top w:w="60" w:type="dxa"/>
              <w:left w:w="120" w:type="dxa"/>
              <w:bottom w:w="60" w:type="dxa"/>
              <w:right w:w="120" w:type="dxa"/>
            </w:tcMar>
            <w:vAlign w:val="center"/>
          </w:tcPr>
          <w:p w14:paraId="3038D2B0">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Won’t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448AA5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Stays separate; integrate via API only</w:t>
            </w:r>
          </w:p>
        </w:tc>
      </w:tr>
      <w:tr w14:paraId="5A63C912">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23ECAC9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Administering the WhatsApp groups themselves</w:t>
            </w:r>
          </w:p>
        </w:tc>
        <w:tc>
          <w:tcPr>
            <w:tcW w:w="1400" w:type="dxa"/>
            <w:tcBorders>
              <w:top w:val="single" w:color="C9D3DE" w:sz="0" w:space="0"/>
              <w:left w:val="single" w:color="C9D3DE" w:sz="0" w:space="0"/>
              <w:bottom w:val="single" w:color="C9D3DE" w:sz="0" w:space="0"/>
              <w:right w:val="single" w:color="C9D3DE" w:sz="0" w:space="0"/>
            </w:tcBorders>
            <w:shd w:val="clear" w:color="auto" w:fill="C9D3DE"/>
            <w:tcMar>
              <w:top w:w="60" w:type="dxa"/>
              <w:left w:w="120" w:type="dxa"/>
              <w:bottom w:w="60" w:type="dxa"/>
              <w:right w:w="120" w:type="dxa"/>
            </w:tcMar>
            <w:vAlign w:val="center"/>
          </w:tcPr>
          <w:p w14:paraId="0573CF2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Won’t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442FF057">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The system stores the link(s) only</w:t>
            </w:r>
          </w:p>
        </w:tc>
      </w:tr>
      <w:tr w14:paraId="53C6472F">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13766496">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Automated grading or plagiarism checks</w:t>
            </w:r>
          </w:p>
        </w:tc>
        <w:tc>
          <w:tcPr>
            <w:tcW w:w="1400" w:type="dxa"/>
            <w:tcBorders>
              <w:top w:val="single" w:color="C9D3DE" w:sz="0" w:space="0"/>
              <w:left w:val="single" w:color="C9D3DE" w:sz="0" w:space="0"/>
              <w:bottom w:val="single" w:color="C9D3DE" w:sz="0" w:space="0"/>
              <w:right w:val="single" w:color="C9D3DE" w:sz="0" w:space="0"/>
            </w:tcBorders>
            <w:shd w:val="clear" w:color="auto" w:fill="C9D3DE"/>
            <w:tcMar>
              <w:top w:w="60" w:type="dxa"/>
              <w:left w:w="120" w:type="dxa"/>
              <w:bottom w:w="60" w:type="dxa"/>
              <w:right w:w="120" w:type="dxa"/>
            </w:tcMar>
            <w:vAlign w:val="center"/>
          </w:tcPr>
          <w:p w14:paraId="728443A5">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Won’t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65E9B728">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Out of scope</w:t>
            </w:r>
          </w:p>
        </w:tc>
      </w:tr>
      <w:tr w14:paraId="5B344FF1">
        <w:tc>
          <w:tcPr>
            <w:tcW w:w="456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00385C51">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A native mobile app</w:t>
            </w:r>
          </w:p>
        </w:tc>
        <w:tc>
          <w:tcPr>
            <w:tcW w:w="1400" w:type="dxa"/>
            <w:tcBorders>
              <w:top w:val="single" w:color="C9D3DE" w:sz="0" w:space="0"/>
              <w:left w:val="single" w:color="C9D3DE" w:sz="0" w:space="0"/>
              <w:bottom w:val="single" w:color="C9D3DE" w:sz="0" w:space="0"/>
              <w:right w:val="single" w:color="C9D3DE" w:sz="0" w:space="0"/>
            </w:tcBorders>
            <w:shd w:val="clear" w:color="auto" w:fill="C9D3DE"/>
            <w:tcMar>
              <w:top w:w="60" w:type="dxa"/>
              <w:left w:w="120" w:type="dxa"/>
              <w:bottom w:w="60" w:type="dxa"/>
              <w:right w:w="120" w:type="dxa"/>
            </w:tcMar>
            <w:vAlign w:val="center"/>
          </w:tcPr>
          <w:p w14:paraId="66382CAC">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bCs/>
                <w:color w:val="222222"/>
                <w:sz w:val="22"/>
                <w:szCs w:val="22"/>
              </w:rPr>
              <w:t>Won’t</w:t>
            </w:r>
          </w:p>
        </w:tc>
        <w:tc>
          <w:tcPr>
            <w:tcW w:w="3400" w:type="dxa"/>
            <w:tcBorders>
              <w:top w:val="single" w:color="C9D3DE" w:sz="0" w:space="0"/>
              <w:left w:val="single" w:color="C9D3DE" w:sz="0" w:space="0"/>
              <w:bottom w:val="single" w:color="C9D3DE" w:sz="0" w:space="0"/>
              <w:right w:val="single" w:color="C9D3DE" w:sz="0" w:space="0"/>
            </w:tcBorders>
            <w:tcMar>
              <w:top w:w="60" w:type="dxa"/>
              <w:left w:w="120" w:type="dxa"/>
              <w:bottom w:w="60" w:type="dxa"/>
              <w:right w:w="120" w:type="dxa"/>
            </w:tcMar>
            <w:vAlign w:val="center"/>
          </w:tcPr>
          <w:p w14:paraId="061CB5FA">
            <w:pPr>
              <w:spacing w:after="0" w:line="360" w:lineRule="auto"/>
              <w:rPr>
                <w:rFonts w:hint="default" w:ascii="Times New Roman Regular" w:hAnsi="Times New Roman Regular" w:cs="Times New Roman Regular"/>
              </w:rPr>
            </w:pPr>
            <w:r>
              <w:rPr>
                <w:rFonts w:hint="default" w:ascii="Times New Roman Regular" w:hAnsi="Times New Roman Regular" w:cs="Times New Roman Regular"/>
                <w:b w:val="0"/>
                <w:bCs w:val="0"/>
                <w:color w:val="222222"/>
                <w:sz w:val="22"/>
                <w:szCs w:val="22"/>
              </w:rPr>
              <w:t>Web-first for this release</w:t>
            </w:r>
          </w:p>
        </w:tc>
      </w:tr>
    </w:tbl>
    <w:p w14:paraId="3610CC81">
      <w:pPr>
        <w:spacing w:line="360" w:lineRule="auto"/>
        <w:rPr>
          <w:rFonts w:hint="default" w:ascii="Times New Roman Regular" w:hAnsi="Times New Roman Regular" w:cs="Times New Roman Regular"/>
        </w:rPr>
      </w:pPr>
    </w:p>
    <w:bookmarkEnd w:id="0"/>
    <w:sectPr>
      <w:footerReference r:id="rId5" w:type="default"/>
      <w:pgSz w:w="12240" w:h="15840"/>
      <w:pgMar w:top="1440" w:right="1440" w:bottom="126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8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098B3">
    <w:pPr>
      <w:spacing w:line="240" w:lineRule="auto"/>
      <w:jc w:val="center"/>
    </w:pPr>
    <w:r>
      <w:rPr>
        <w:color w:val="5B6B7B"/>
        <w:sz w:val="16"/>
        <w:szCs w:val="16"/>
      </w:rPr>
      <w:t xml:space="preserve">FYP Tracking &amp; Accountability System  —  Requirements Brief v1.0      ·      Page </w:t>
    </w:r>
    <w:r>
      <w:rPr>
        <w:color w:val="5B6B7B"/>
        <w:sz w:val="16"/>
        <w:szCs w:val="16"/>
      </w:rPr>
      <w:fldChar w:fldCharType="begin"/>
    </w:r>
    <w:r>
      <w:rPr>
        <w:color w:val="5B6B7B"/>
        <w:sz w:val="16"/>
        <w:szCs w:val="16"/>
      </w:rPr>
      <w:instrText xml:space="preserve">PAGE</w:instrText>
    </w:r>
    <w:r>
      <w:rPr>
        <w:color w:val="5B6B7B"/>
        <w:sz w:val="16"/>
        <w:szCs w:val="16"/>
      </w:rPr>
      <w:fldChar w:fldCharType="separate"/>
    </w:r>
    <w:r>
      <w:rPr>
        <w:color w:val="5B6B7B"/>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F7BB3">
    <w:pPr>
      <w:spacing w:line="240" w:lineRule="auto"/>
      <w:jc w:val="center"/>
    </w:pPr>
    <w:r>
      <w:rPr>
        <w:color w:val="5B6B7B"/>
        <w:sz w:val="16"/>
        <w:szCs w:val="16"/>
      </w:rPr>
      <w:t xml:space="preserve">FYP Tracking &amp; Accountability System  —  Requirements Brief v1.0      ·      Page </w:t>
    </w:r>
    <w:r>
      <w:rPr>
        <w:color w:val="5B6B7B"/>
        <w:sz w:val="16"/>
        <w:szCs w:val="16"/>
      </w:rPr>
      <w:fldChar w:fldCharType="begin"/>
    </w:r>
    <w:r>
      <w:rPr>
        <w:color w:val="5B6B7B"/>
        <w:sz w:val="16"/>
        <w:szCs w:val="16"/>
      </w:rPr>
      <w:instrText xml:space="preserve">PAGE</w:instrText>
    </w:r>
    <w:r>
      <w:rPr>
        <w:color w:val="5B6B7B"/>
        <w:sz w:val="16"/>
        <w:szCs w:val="16"/>
      </w:rPr>
      <w:fldChar w:fldCharType="separate"/>
    </w:r>
    <w:r>
      <w:rPr>
        <w:color w:val="5B6B7B"/>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2D6830">
    <w:pPr>
      <w:spacing w:line="240" w:lineRule="auto"/>
      <w:jc w:val="center"/>
    </w:pPr>
    <w:r>
      <w:rPr>
        <w:color w:val="5B6B7B"/>
        <w:sz w:val="16"/>
        <w:szCs w:val="16"/>
      </w:rPr>
      <w:t xml:space="preserve">FYP Tracking &amp; Accountability System  —  Requirements Brief v1.0      ·      Page </w:t>
    </w:r>
    <w:r>
      <w:rPr>
        <w:color w:val="5B6B7B"/>
        <w:sz w:val="16"/>
        <w:szCs w:val="16"/>
      </w:rPr>
      <w:fldChar w:fldCharType="begin"/>
    </w:r>
    <w:r>
      <w:rPr>
        <w:color w:val="5B6B7B"/>
        <w:sz w:val="16"/>
        <w:szCs w:val="16"/>
      </w:rPr>
      <w:instrText xml:space="preserve">PAGE</w:instrText>
    </w:r>
    <w:r>
      <w:rPr>
        <w:color w:val="5B6B7B"/>
        <w:sz w:val="16"/>
        <w:szCs w:val="16"/>
      </w:rPr>
      <w:fldChar w:fldCharType="separate"/>
    </w:r>
    <w:r>
      <w:rPr>
        <w:color w:val="5B6B7B"/>
        <w:sz w:val="16"/>
        <w:szCs w:val="1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BE5A8D"/>
    <w:multiLevelType w:val="singleLevel"/>
    <w:tmpl w:val="7FBE5A8D"/>
    <w:lvl w:ilvl="0" w:tentative="0">
      <w:start w:val="1"/>
      <w:numFmt w:val="bullet"/>
      <w:lvlText w:val="•"/>
      <w:lvlJc w:val="left"/>
      <w:pPr>
        <w:ind w:left="560" w:hanging="280"/>
      </w:pPr>
    </w:lvl>
  </w:abstractNum>
  <w:abstractNum w:abstractNumId="1">
    <w:nsid w:val="7FFDB32D"/>
    <w:multiLevelType w:val="singleLevel"/>
    <w:tmpl w:val="7FFDB32D"/>
    <w:lvl w:ilvl="0" w:tentative="0">
      <w:start w:val="1"/>
      <w:numFmt w:val="decimal"/>
      <w:lvlText w:val="%1."/>
      <w:lvlJc w:val="left"/>
      <w:pPr>
        <w:ind w:left="560" w:hanging="30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documentProtection w:enforcement="0"/>
  <w:compat>
    <w:compatSetting w:name="compatibilityMode" w:uri="http://schemas.microsoft.com/office/word" w:val="15"/>
  </w:compat>
  <w:rsids>
    <w:rsidRoot w:val="00000000"/>
    <w:rsid w:val="95FF34A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spacing w:before="280" w:after="120" w:line="276" w:lineRule="auto"/>
      <w:outlineLvl w:val="0"/>
    </w:pPr>
    <w:rPr>
      <w:rFonts w:ascii="Times New Roman" w:hAnsi="Times New Roman" w:eastAsia="Times New Roman" w:cs="Times New Roman"/>
      <w:b/>
      <w:bCs/>
      <w:color w:val="1F3A5F"/>
      <w:sz w:val="30"/>
      <w:szCs w:val="30"/>
    </w:rPr>
  </w:style>
  <w:style w:type="paragraph" w:styleId="3">
    <w:name w:val="heading 2"/>
    <w:next w:val="1"/>
    <w:qFormat/>
    <w:uiPriority w:val="0"/>
    <w:pPr>
      <w:spacing w:before="180" w:after="90" w:line="276" w:lineRule="auto"/>
      <w:outlineLvl w:val="1"/>
    </w:pPr>
    <w:rPr>
      <w:rFonts w:ascii="Times New Roman" w:hAnsi="Times New Roman" w:eastAsia="Times New Roman" w:cs="Times New Roman"/>
      <w:b/>
      <w:bCs/>
      <w:color w:val="1F3A5F"/>
      <w:sz w:val="25"/>
      <w:szCs w:val="25"/>
    </w:rPr>
  </w:style>
  <w:style w:type="paragraph" w:styleId="4">
    <w:name w:val="heading 3"/>
    <w:next w:val="1"/>
    <w:qFormat/>
    <w:uiPriority w:val="0"/>
    <w:pPr>
      <w:spacing w:line="360" w:lineRule="auto"/>
    </w:pPr>
    <w:rPr>
      <w:rFonts w:ascii="Times New Roman" w:hAnsi="Times New Roman" w:eastAsia="Times New Roman" w:cs="Times New Roman"/>
      <w:color w:val="1F4D78"/>
      <w:sz w:val="24"/>
      <w:szCs w:val="24"/>
    </w:rPr>
  </w:style>
  <w:style w:type="paragraph" w:styleId="5">
    <w:name w:val="heading 4"/>
    <w:next w:val="1"/>
    <w:qFormat/>
    <w:uiPriority w:val="0"/>
    <w:pPr>
      <w:spacing w:line="360" w:lineRule="auto"/>
    </w:pPr>
    <w:rPr>
      <w:rFonts w:ascii="Times New Roman" w:hAnsi="Times New Roman" w:eastAsia="Times New Roman"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Times New Roman" w:cs="Times New Roman"/>
      <w:color w:val="2E74B5"/>
      <w:sz w:val="24"/>
      <w:szCs w:val="24"/>
    </w:rPr>
  </w:style>
  <w:style w:type="paragraph" w:styleId="7">
    <w:name w:val="heading 6"/>
    <w:next w:val="1"/>
    <w:qFormat/>
    <w:uiPriority w:val="0"/>
    <w:pPr>
      <w:spacing w:line="360" w:lineRule="auto"/>
    </w:pPr>
    <w:rPr>
      <w:rFonts w:ascii="Times New Roman" w:hAnsi="Times New Roman" w:eastAsia="Times New Roman" w:cs="Times New Roman"/>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Times New Roman" w:hAnsi="Times New Roman" w:eastAsia="Times New Roman" w:cs="Times New Roman"/>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Times New Roman" w:hAnsi="Times New Roman" w:eastAsia="Times New Roman" w:cs="Times New Roman"/>
      <w:sz w:val="20"/>
      <w:szCs w:val="20"/>
    </w:rPr>
  </w:style>
  <w:style w:type="character" w:styleId="14">
    <w:name w:val="Hyperlink"/>
    <w:unhideWhenUsed/>
    <w:uiPriority w:val="99"/>
    <w:rPr>
      <w:color w:val="0563C1"/>
      <w:u w:val="single"/>
    </w:rPr>
  </w:style>
  <w:style w:type="paragraph" w:styleId="15">
    <w:name w:val="Title"/>
    <w:qFormat/>
    <w:uiPriority w:val="0"/>
    <w:pPr>
      <w:spacing w:line="360" w:lineRule="auto"/>
    </w:pPr>
    <w:rPr>
      <w:rFonts w:ascii="Times New Roman" w:hAnsi="Times New Roman" w:eastAsia="Times New Roman" w:cs="Times New Roman"/>
      <w:sz w:val="56"/>
      <w:szCs w:val="56"/>
    </w:rPr>
  </w:style>
  <w:style w:type="paragraph" w:styleId="16">
    <w:name w:val="List Paragraph"/>
    <w:qFormat/>
    <w:uiPriority w:val="0"/>
    <w:pPr>
      <w:spacing w:line="360" w:lineRule="auto"/>
    </w:pPr>
    <w:rPr>
      <w:rFonts w:ascii="Times New Roman" w:hAnsi="Times New Roman" w:eastAsia="Times New Roman" w:cs="Times New Roman"/>
      <w:sz w:val="24"/>
      <w:szCs w:val="24"/>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13</Pages>
  <TotalTime>0</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SamuelNgomituje</cp:lastModifiedBy>
  <dcterms:modified xsi:type="dcterms:W3CDTF">2026-06-07T00:01:23Z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65A180642AD52348B398246A72B9A29A_42</vt:lpwstr>
  </property>
</Properties>
</file>