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120"/>
        <w:rPr/>
      </w:pPr>
      <w:r>
        <w:rPr>
          <w:b/>
          <w:bCs/>
          <w:sz w:val="28"/>
          <w:szCs w:val="28"/>
        </w:rPr>
        <w:t>CRISPR-Cas9: Documented Real-World Cases and Human Impact</w:t>
      </w:r>
    </w:p>
    <w:p>
      <w:pPr>
        <w:pStyle w:val="normal1"/>
        <w:spacing w:lineRule="auto" w:line="240" w:before="0" w:after="200"/>
        <w:rPr/>
      </w:pPr>
      <w:r>
        <w:rPr>
          <w:i/>
          <w:iCs/>
          <w:sz w:val="20"/>
          <w:szCs w:val="20"/>
        </w:rPr>
        <w:t>India-focused table with documented human/animal cases, explicit distinctions between demonstrated events and unproven harm, and a dedicated column covering controversies where real-world consequences occurred but legal procedures/claims remain unestablished.</w:t>
      </w:r>
    </w:p>
    <w:tbl>
      <w:tblPr>
        <w:tblStyle w:val="Table1"/>
        <w:tblW w:w="14160" w:type="dxa"/>
        <w:jc w:val="left"/>
        <w:tblInd w:w="0" w:type="dxa"/>
        <w:tblLayout w:type="fixed"/>
        <w:tblCellMar>
          <w:top w:w="0" w:type="dxa"/>
          <w:left w:w="108" w:type="dxa"/>
          <w:bottom w:w="0" w:type="dxa"/>
          <w:right w:w="108" w:type="dxa"/>
        </w:tblCellMar>
        <w:tblLook w:val="0000"/>
      </w:tblPr>
      <w:tblGrid>
        <w:gridCol w:w="2360"/>
        <w:gridCol w:w="2359"/>
        <w:gridCol w:w="2361"/>
        <w:gridCol w:w="2360"/>
        <w:gridCol w:w="2359"/>
        <w:gridCol w:w="2360"/>
      </w:tblGrid>
      <w:tr>
        <w:trPr>
          <w:tblHeader w:val="true"/>
        </w:trPr>
        <w:tc>
          <w:tcPr>
            <w:tcW w:w="2360"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1"/>
              <w:rPr/>
            </w:pPr>
            <w:r>
              <w:rPr>
                <w:b/>
                <w:bCs/>
                <w:color w:val="FFFFFF"/>
                <w:sz w:val="16"/>
                <w:szCs w:val="16"/>
              </w:rPr>
              <w:t>Sector</w:t>
            </w:r>
          </w:p>
        </w:tc>
        <w:tc>
          <w:tcPr>
            <w:tcW w:w="2359"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1"/>
              <w:rPr/>
            </w:pPr>
            <w:r>
              <w:rPr>
                <w:b/>
                <w:bCs/>
                <w:color w:val="FFFFFF"/>
                <w:sz w:val="16"/>
                <w:szCs w:val="16"/>
              </w:rPr>
              <w:t>What the wrong Cas9 cut can physically do</w:t>
            </w:r>
          </w:p>
        </w:tc>
        <w:tc>
          <w:tcPr>
            <w:tcW w:w="2361"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1"/>
              <w:rPr/>
            </w:pPr>
            <w:r>
              <w:rPr>
                <w:b/>
                <w:bCs/>
                <w:color w:val="FFFFFF"/>
                <w:sz w:val="16"/>
                <w:szCs w:val="16"/>
              </w:rPr>
              <w:t>Real-world consequence in India</w:t>
            </w:r>
          </w:p>
        </w:tc>
        <w:tc>
          <w:tcPr>
            <w:tcW w:w="2360"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1"/>
              <w:rPr/>
            </w:pPr>
            <w:r>
              <w:rPr>
                <w:b/>
                <w:bCs/>
                <w:color w:val="FFFFFF"/>
                <w:sz w:val="16"/>
                <w:szCs w:val="16"/>
              </w:rPr>
              <w:t>How this can affect daily life / what difficulty it creates</w:t>
            </w:r>
          </w:p>
        </w:tc>
        <w:tc>
          <w:tcPr>
            <w:tcW w:w="2359"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1"/>
              <w:rPr/>
            </w:pPr>
            <w:r>
              <w:rPr>
                <w:b/>
                <w:bCs/>
                <w:color w:val="FFFFFF"/>
                <w:sz w:val="16"/>
                <w:szCs w:val="16"/>
              </w:rPr>
              <w:t>Documented cases involving actual people / groups of people</w:t>
            </w:r>
          </w:p>
        </w:tc>
        <w:tc>
          <w:tcPr>
            <w:tcW w:w="2360"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1"/>
              <w:rPr/>
            </w:pPr>
            <w:r>
              <w:rPr>
                <w:b/>
                <w:bCs/>
                <w:color w:val="FFFFFF"/>
                <w:sz w:val="16"/>
                <w:szCs w:val="16"/>
              </w:rPr>
              <w:t>Controversies &amp; legal grey-zone consequences (real-world impact occurred, but legal claims/liability not yet fully established)</w:t>
            </w:r>
          </w:p>
        </w:tc>
      </w:tr>
      <w:tr>
        <w:trPr/>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bCs/>
                <w:i w:val="false"/>
                <w:iCs w:val="false"/>
                <w:sz w:val="15"/>
                <w:szCs w:val="15"/>
              </w:rPr>
              <w:t>Human medicine</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Mutation, deletion, inversion or chromosome rearrangement</w:t>
            </w:r>
          </w:p>
        </w:tc>
        <w:tc>
          <w:tcPr>
            <w:tcW w:w="23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Edited cells need extensive genomic testing before a patient's own cells can be returned</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Treatment can require additional testing before a patient's own cells can be returned; this can make treatment complex and available only at specialised centres.</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Sickle-cell patients: In a first-in-human CRISPR-Cas9 sickle-cell study, patients had their blood stem cells removed, edited outside the body and returned after conditioning. The published clinical study reported treatment outcomes and adverse events; the broader safety programme specifically investigates unintended genomic changes in these patient-derived cells. Important: this study did not establish that an off-target mutation harmed these patients.</w:t>
            </w:r>
          </w:p>
          <w:p>
            <w:pPr>
              <w:pStyle w:val="normal1"/>
              <w:spacing w:lineRule="auto" w:line="240" w:before="0" w:after="60"/>
              <w:rPr/>
            </w:pPr>
            <w:r>
              <w:rPr>
                <w:b w:val="false"/>
                <w:bCs w:val="false"/>
                <w:i/>
                <w:iCs/>
                <w:sz w:val="15"/>
                <w:szCs w:val="15"/>
              </w:rPr>
              <w:t>Source: New England Journal of Medicine.</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India has no CRISPR-specific statute governing somatic gene-therapy trials; oversight relies on ICMR/DBT guidelines that are advisory, not legally binding. If an Indian patient's edited cells later showed an unintended genomic change, there is currently no dedicated compensation or liability pathway — a claim would have to be pursued under general medical-negligence law, which has not yet been tested for a CRISPR-linked injury in an Indian court.</w:t>
            </w:r>
          </w:p>
        </w:tc>
      </w:tr>
      <w:tr>
        <w:trPr/>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bCs/>
                <w:i w:val="false"/>
                <w:iCs w:val="false"/>
                <w:sz w:val="15"/>
                <w:szCs w:val="15"/>
              </w:rPr>
              <w:t>Cancer research / treatment</w:t>
            </w:r>
          </w:p>
        </w:tc>
        <w:tc>
          <w:tcPr>
            <w:tcW w:w="2359"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Multiple Cas9 cuts can create chromosome translocations, chromosome loss or other rearrangements</w:t>
            </w:r>
          </w:p>
        </w:tc>
        <w:tc>
          <w:tcPr>
            <w:tcW w:w="2361"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Engineered immune cells must be checked before being given to patients</w:t>
            </w:r>
          </w:p>
        </w:tc>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If unwanted chromosome changes occur in therapeutic cells, doctors need additional genomic checks before relying on those cells as a treatment.</w:t>
            </w:r>
          </w:p>
        </w:tc>
        <w:tc>
          <w:tcPr>
            <w:tcW w:w="2359"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Actual cancer patients: In the first-in-human CRISPR-Cas9 T-cell cancer trial, T cells from 3 patients were edited at three genomic locations and returned to them. Researchers detected chromosomal translocations in the manufactured cells, and some persisted after infusion. The study did not find evidence that these translocations caused harm to the patients. A larger lung-cancer trial treated 12 patients with edited T cells and detected low-frequency off-target mutations; treatment-related adverse events were grade 1/2.</w:t>
            </w:r>
          </w:p>
          <w:p>
            <w:pPr>
              <w:pStyle w:val="normal1"/>
              <w:spacing w:lineRule="auto" w:line="240" w:before="0" w:after="60"/>
              <w:rPr/>
            </w:pPr>
            <w:r>
              <w:rPr>
                <w:b w:val="false"/>
                <w:bCs w:val="false"/>
                <w:i/>
                <w:iCs/>
                <w:sz w:val="15"/>
                <w:szCs w:val="15"/>
              </w:rPr>
              <w:t>Sources: PubMed Central (PMC); Nature.</w:t>
            </w:r>
          </w:p>
        </w:tc>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Detected chromosomal translocations that persist after infusion raise a real informed-consent question — patients were told about theoretical off-target risk, but not about a specific detected genomic event. Because India lacks a centralised gene-therapy liability framework, an Indian patient in an equivalent trial would have no statutory route to a claim; any dispute would default to ordinary tort/negligence law, and no such case has been filed to date.</w:t>
            </w:r>
          </w:p>
        </w:tc>
      </w:tr>
      <w:tr>
        <w:trPr/>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bCs/>
                <w:i w:val="false"/>
                <w:iCs w:val="false"/>
                <w:sz w:val="15"/>
                <w:szCs w:val="15"/>
              </w:rPr>
              <w:t>Agriculture</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Unintended mutations can occur at other DNA locations</w:t>
            </w:r>
          </w:p>
        </w:tc>
        <w:tc>
          <w:tcPr>
            <w:tcW w:w="23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Edited crops require genomic characterisation</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 farmer cannot simply assume that "disease-resistant" means the plant changed only at the intended gene. Unintended changes have to be investigated before the variety can be trusted.</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This is not a human-patient case. The closest real-world group is farmers/consumers who would eventually use an edited crop, but I did not find evidence that Indian farmers or consumers have been demonstrably harmed by an off-target CRISPR crop. Therefore this row should remain labelled as a documented agricultural safety issue, not a documented human-harm case.</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India's Guidelines for Safety Assessment of Genome-Edited Plants (2022) are advisory and sit alongside — rather than replace — the older, GMO-era regulatory apparatus, so there is still no single statutory law or centralised regulator for gene-edited crops. This echoes the long-running Bt-brinjal/GM-crop moratorium disputes, where field-level consequences preceded settled legal accountability. A farmer whose edited variety underperforms because of an undisclosed off-target change currently has no clear, CRISPR-specific legal claim to pursue.</w:t>
            </w:r>
          </w:p>
        </w:tc>
      </w:tr>
      <w:tr>
        <w:trPr/>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bCs/>
                <w:i w:val="false"/>
                <w:iCs w:val="false"/>
                <w:sz w:val="15"/>
                <w:szCs w:val="15"/>
              </w:rPr>
              <w:t>Livestock</w:t>
            </w:r>
          </w:p>
        </w:tc>
        <w:tc>
          <w:tcPr>
            <w:tcW w:w="2359"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An unintended mutation can occur alongside the desired edit</w:t>
            </w:r>
          </w:p>
        </w:tc>
        <w:tc>
          <w:tcPr>
            <w:tcW w:w="2361"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Edited animals require genomic testing</w:t>
            </w:r>
          </w:p>
        </w:tc>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 farmer could ultimately face uncertainty about whether an animal carries only the intended trait or additional mutations, affecting breeding decisions.</w:t>
            </w:r>
          </w:p>
        </w:tc>
        <w:tc>
          <w:tcPr>
            <w:tcW w:w="2359"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Actual animals, not humans: CRISPR-edited pigs have been found with off-target mutations at other genomic locations. The animals were not shown to suffer an associated health problem. This demonstrates the biological event but not a documented farmer/patient harm case.</w:t>
            </w:r>
          </w:p>
        </w:tc>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Internationally, gene-edited hornless cattle were later found to carry an undisclosed antibiotic-resistance marker from the editing process — a real-world consequence that surfaced only after regulatory review, not before. India has no livestock-specific gene-editing law, so an equivalent undisclosed insertion entering the Indian breeding or food supply would currently fall into a legal grey zone, with no established claims process for affected breeders or consumers.</w:t>
            </w:r>
          </w:p>
        </w:tc>
      </w:tr>
      <w:tr>
        <w:trPr/>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bCs/>
                <w:i w:val="false"/>
                <w:iCs w:val="false"/>
                <w:sz w:val="15"/>
                <w:szCs w:val="15"/>
              </w:rPr>
              <w:t>Industrial biotech</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Additional mutations can appear in an engineered production organism</w:t>
            </w:r>
          </w:p>
        </w:tc>
        <w:tc>
          <w:tcPr>
            <w:tcW w:w="23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Production strains need genetic and performance testing</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If an industrial strain behaves differently from expected, production may become less predictable and require additional testing or redevelopment.</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 found no strong documented case of a group of ordinary consumers being harmed by an industrial product specifically because of an off-target Cas9 mutation. The strongest evidence remains laboratory/production-strain studies, so this should not be presented as a human case.</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Industrial genome-edited organisms in India are still assessed under rules written for older recombinant-DNA/GMO technology, not CRISPR specifically, leaving enforcement gaps around containment and disclosure. If an engineered strain's unintended mutation altered a consumer product's safety profile, no Indian company has yet been held legally liable for a Cas9-off-target-linked failure — the legal question remains untested.</w:t>
            </w:r>
          </w:p>
        </w:tc>
      </w:tr>
      <w:tr>
        <w:trPr/>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bCs/>
                <w:i w:val="false"/>
                <w:iCs w:val="false"/>
                <w:sz w:val="15"/>
                <w:szCs w:val="15"/>
              </w:rPr>
              <w:t>Research</w:t>
            </w:r>
          </w:p>
        </w:tc>
        <w:tc>
          <w:tcPr>
            <w:tcW w:w="2359"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An unintended mutation can occur alongside the intended edit</w:t>
            </w:r>
          </w:p>
        </w:tc>
        <w:tc>
          <w:tcPr>
            <w:tcW w:w="2361"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Researchers have to establish which genetic change produced the observed effect</w:t>
            </w:r>
          </w:p>
        </w:tc>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Researchers can spend time pursuing the wrong biological explanation, potentially wasting experiments and resources.</w:t>
            </w:r>
          </w:p>
        </w:tc>
        <w:tc>
          <w:tcPr>
            <w:tcW w:w="2359"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Actual patient-derived cells: The sickle-cell CRISPR studies use cells taken from actual patients, and genomic analyses have identified unintended genomic events in edited human stem cells. Human T-cell trials: researchers also observed chromosome abnormalities in cells subsequently given to cancer patients.</w:t>
            </w:r>
          </w:p>
          <w:p>
            <w:pPr>
              <w:pStyle w:val="normal1"/>
              <w:spacing w:lineRule="auto" w:line="240" w:before="0" w:after="60"/>
              <w:rPr/>
            </w:pPr>
            <w:r>
              <w:rPr>
                <w:b w:val="false"/>
                <w:bCs w:val="false"/>
                <w:i/>
                <w:iCs/>
                <w:sz w:val="15"/>
                <w:szCs w:val="15"/>
              </w:rPr>
              <w:t>Sources: New England Journal of Medicine; PubMed Central (PMC).</w:t>
            </w:r>
          </w:p>
        </w:tc>
        <w:tc>
          <w:tcPr>
            <w:tcW w:w="2360" w:type="dxa"/>
            <w:tcBorders>
              <w:top w:val="single" w:sz="4" w:space="0" w:color="000000"/>
              <w:left w:val="single" w:sz="4" w:space="0" w:color="000000"/>
              <w:bottom w:val="single" w:sz="4" w:space="0" w:color="000000"/>
              <w:right w:val="single" w:sz="4" w:space="0" w:color="000000"/>
            </w:tcBorders>
            <w:shd w:fill="F2F2F2" w:val="clear"/>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The global debate sparked by unauthorised, poorly consented embryo-editing research (the He Jiankui case) shows how research-stage genomic changes can create irreversible real-world consequences before any legal or ethical review catches up. In India, research on patient-derived cells is governed mainly by non-statutory ICMR guidelines; a patient whose cells showed an unintended genomic change during research would face genuine uncertainty about what, if any, legal recourse exists.</w:t>
            </w:r>
          </w:p>
        </w:tc>
      </w:tr>
      <w:tr>
        <w:trPr/>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bCs/>
                <w:i w:val="false"/>
                <w:iCs w:val="false"/>
                <w:sz w:val="15"/>
                <w:szCs w:val="15"/>
              </w:rPr>
              <w:t>Regulation</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The intended edit does not guarantee that no other genomic change occurred</w:t>
            </w:r>
          </w:p>
        </w:tc>
        <w:tc>
          <w:tcPr>
            <w:tcW w:w="23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More sequencing and characterisation are required</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A therapy or agricultural product may require more evidence before it can be widely used, increasing development time and cost.</w:t>
            </w:r>
          </w:p>
        </w:tc>
        <w:tc>
          <w:tcPr>
            <w:tcW w:w="235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Real clinical programmes: CRISPR-edited human T-cell trials have incorporated off-target sequencing and chromosomal analysis precisely because edited cells were going into actual patients. In one trial, 22 patients were enrolled and 12 ultimately received the edited-cell treatment. This is evidence of the regulatory/safety burden, not evidence that regulation itself harmed those patients.</w:t>
            </w:r>
          </w:p>
          <w:p>
            <w:pPr>
              <w:pStyle w:val="normal1"/>
              <w:spacing w:lineRule="auto" w:line="240" w:before="0" w:after="60"/>
              <w:rPr/>
            </w:pPr>
            <w:r>
              <w:rPr>
                <w:b w:val="false"/>
                <w:bCs w:val="false"/>
                <w:i/>
                <w:iCs/>
                <w:sz w:val="15"/>
                <w:szCs w:val="15"/>
              </w:rPr>
              <w:t>Source: PubMed.</w:t>
            </w:r>
          </w:p>
        </w:tc>
        <w:tc>
          <w:tcPr>
            <w:tcW w:w="236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pPr>
              <w:pStyle w:val="normal1"/>
              <w:spacing w:lineRule="auto" w:line="240" w:before="0" w:after="60"/>
              <w:rPr/>
            </w:pPr>
            <w:r>
              <w:rPr>
                <w:b w:val="false"/>
                <w:bCs w:val="false"/>
                <w:i w:val="false"/>
                <w:iCs w:val="false"/>
                <w:sz w:val="15"/>
                <w:szCs w:val="15"/>
              </w:rPr>
              <w:t>Two unresolved legal threads compound the regulatory picture. First, the foundational CRISPR-Cas9 patent dispute between the Broad Institute and UC Berkeley left basic ownership of the technology contested for years, which can delay affordable access to edited therapies. Second, India still has no dedicated gene-editing statute — germline editing is only indirectly restricted via the ART Act — so even where an off-target consequence is real, there is no established Indian legal precedent or compensation mechanism specific to CRISPR; affected patients or producers would have to rely on general, untested tort claims.</w:t>
            </w:r>
          </w:p>
        </w:tc>
      </w:tr>
    </w:tbl>
    <w:p>
      <w:pPr>
        <w:pStyle w:val="normal1"/>
        <w:keepNext w:val="false"/>
        <w:keepLines w:val="false"/>
        <w:pageBreakBefore w:val="false"/>
        <w:widowControl w:val="false"/>
        <w:pBdr/>
        <w:shd w:val="clear" w:fill="auto"/>
        <w:spacing w:lineRule="auto" w:line="276" w:before="0" w:after="0"/>
        <w:ind w:hanging="0" w:left="0" w:right="0"/>
        <w:jc w:val="left"/>
        <w:rPr/>
      </w:pPr>
      <w:r>
        <w:rPr/>
      </w:r>
    </w:p>
    <w:sectPr>
      <w:type w:val="nextPage"/>
      <w:pgSz w:orient="landscape" w:w="15840" w:h="12240"/>
      <w:pgMar w:left="620" w:right="620" w:gutter="0" w:header="0" w:top="620" w:footer="0" w:bottom="62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settings.xml><?xml version="1.0" encoding="utf-8"?>
<w:settings xmlns:w="http://schemas.openxmlformats.org/wordprocessingml/2006/main">
  <w:zoom w:percent="8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iCs/>
      <w:caps w:val="false"/>
      <w:smallCaps w:val="false"/>
      <w:strike w:val="false"/>
      <w:dstrike w:val="false"/>
      <w:color w:val="2E74B5"/>
      <w:position w:val="0"/>
      <w:sz w:val="2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1231</Words>
  <Characters>7677</Characters>
  <CharactersWithSpaces>8862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