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Hackathon Execution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CRISPR Guide-RNA Design &amp; Scoring System — Working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color w:val="595959"/>
          <w:rtl w:val="0"/>
        </w:rPr>
        <w:t xml:space="preserve">This document formalizes the working plan captured during hackathon planning. It covers three phases: (1) building a deterministic guide-RNA candidate generation and scoring pipeline, (2) layering AI-assisted reasoning and interpretation on top of the deterministic outputs, and (3) preparing the application layer, benchmarking, and final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1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0. Preparation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Copy/gather pre-needed data, reference files, and any other required assets. These will be hosted on GitHub for shared access during the hackathon.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Gather and clone the parameters/configuration needed to run the pipeline (repos, config files, environment settings).</w:t>
      </w:r>
    </w:p>
    <w:p w:rsidR="00000000" w:rsidDel="00000000" w:rsidP="00000000" w:rsidRDefault="00000000" w:rsidRPr="00000000" w14:paraId="00000008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1 — Deterministic Math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A rule-based, deterministic pipeline for identifying and ranking CRISPR guide-RNA candidates. Steps: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Ingesting DNA sequence — accept and parse the input target sequence.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PAM search — scan the sequence for valid PAM sites.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Filtering candidates — remove guide candidates that fail basic validity checks.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GC / sequence properties — compute GC content and other sequence-level features for each candidate.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Off-target prediction — predict potential off-target binding sites genome-wide.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Mismatch / seed analysis — analyze mismatch tolerance and seed-region sensitivity for each candidate.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Candidate ranking / specificity ranking — combine the above into a ranked list of guide candidates by predicted specificity and quality.</w:t>
      </w:r>
    </w:p>
    <w:p w:rsidR="00000000" w:rsidDel="00000000" w:rsidP="00000000" w:rsidRDefault="00000000" w:rsidRPr="00000000" w14:paraId="00000011">
      <w:pPr>
        <w:spacing w:after="240" w:before="16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Milestone: Test the deterministic model end-to-end before moving to Part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2 — AI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1. AI Reasoning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Fuse deterministic scores into an AI reasoning layer.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Feed relevant literature into the AI layer to inform its reasoning.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the AI reasoning layer to be explainable / anti-black-box (avoid an opaque scoring output).</w:t>
      </w:r>
    </w:p>
    <w:p w:rsidR="00000000" w:rsidDel="00000000" w:rsidP="00000000" w:rsidRDefault="00000000" w:rsidRPr="00000000" w14:paraId="0000001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2. System &amp; Application Build-Out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the MCP / API layer for the overall system.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building the application UI.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 drafting the site/pitch presentation.</w:t>
      </w:r>
    </w:p>
    <w:p w:rsidR="00000000" w:rsidDel="00000000" w:rsidP="00000000" w:rsidRDefault="00000000" w:rsidRPr="00000000" w14:paraId="0000001B">
      <w:pPr>
        <w:spacing w:after="240" w:before="200" w:lineRule="auto"/>
        <w:rPr/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Benchmarking happens here!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3 — Final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 recording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Documentation, with citations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Pre-database citations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Recording of presentations</w:t>
      </w:r>
    </w:p>
    <w:p w:rsidR="00000000" w:rsidDel="00000000" w:rsidP="00000000" w:rsidRDefault="00000000" w:rsidRPr="00000000" w14:paraId="0000002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Layer — Required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Cutting site / cleavage location output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Possible harm assessment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Scores and confidence values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Kimi / multi-model interpretation of that data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04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CFD (Cutting Frequency Determination) scores</w:t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504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