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288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T1 — Spot-Check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Identificação do grupo</w:t>
      </w:r>
    </w:p>
    <w:tbl>
      <w:tblPr>
        <w:tblStyle w:val="Table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73"/>
        <w:gridCol w:w="4873"/>
        <w:tblGridChange w:id="0">
          <w:tblGrid>
            <w:gridCol w:w="4873"/>
            <w:gridCol w:w="4873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3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jc w:val="both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Cartão UFRGS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5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Jean Smaniotto Argoud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6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7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João Pedro Klippel Brusch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8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00344001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9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Matheus Krzesinski da Silva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A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00594989</w:t>
            </w:r>
          </w:p>
        </w:tc>
      </w:tr>
    </w:tbl>
    <w:p w:rsidR="00000000" w:rsidDel="00000000" w:rsidP="00000000" w:rsidRDefault="00000000" w:rsidRPr="00000000" w14:paraId="0000000B">
      <w:pPr>
        <w:spacing w:after="0" w:line="240" w:lineRule="auto"/>
        <w:jc w:val="both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both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Link para o notebook do Google Colab (ou google drive com arquivos do T1):</w:t>
      </w:r>
    </w:p>
    <w:p w:rsidR="00000000" w:rsidDel="00000000" w:rsidP="00000000" w:rsidRDefault="00000000" w:rsidRPr="00000000" w14:paraId="0000000D">
      <w:pPr>
        <w:spacing w:after="0" w:line="240" w:lineRule="auto"/>
        <w:jc w:val="both"/>
        <w:rPr>
          <w:rFonts w:ascii="Arial" w:cs="Arial" w:eastAsia="Arial" w:hAnsi="Arial"/>
          <w:b w:val="1"/>
          <w:bCs w:val="1"/>
          <w:sz w:val="22"/>
          <w:szCs w:val="22"/>
        </w:rPr>
      </w:pPr>
      <w:hyperlink r:id="rId6">
        <w:r w:rsidDel="00000000" w:rsidR="00000000" w:rsidRPr="00000000">
          <w:rPr>
            <w:rFonts w:ascii="Arial" w:cs="Arial" w:eastAsia="Arial" w:hAnsi="Arial"/>
            <w:b w:val="1"/>
            <w:bCs w:val="1"/>
            <w:color w:val="1155cc"/>
            <w:sz w:val="22"/>
            <w:szCs w:val="22"/>
            <w:u w:val="single"/>
            <w:rtl w:val="0"/>
          </w:rPr>
          <w:t xml:space="preserve">Google Colab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bookmarkStart w:colFirst="0" w:colLast="0" w:name="_adzpuhenarcl" w:id="0"/>
      <w:bookmarkEnd w:id="0"/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1. Definição do problema</w:t>
      </w:r>
    </w:p>
    <w:p w:rsidR="00000000" w:rsidDel="00000000" w:rsidP="00000000" w:rsidRDefault="00000000" w:rsidRPr="00000000" w14:paraId="0000000F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Título do trabalho: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Previsão da intenção de compra em sessões de e-commerce: spot-checking de algoritmos de classificação</w:t>
      </w:r>
    </w:p>
    <w:p w:rsidR="00000000" w:rsidDel="00000000" w:rsidP="00000000" w:rsidRDefault="00000000" w:rsidRPr="00000000" w14:paraId="00000011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Dataset: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Online Shoppers Purchasing Intention Dataset (Sakar et al., 2019), disponível no UCI Machine Learning Repository (ID 468): https://archive.ics.uci.edu/dataset/468/online+shoppers+purchasing+intention+dataset. Cada instância é uma sessão de navegação em uma loja online, coletada ao longo de um ano, com métricas de páginas visitadas, tempo de permanência e indicadores do Google Analytics.</w:t>
      </w:r>
    </w:p>
    <w:p w:rsidR="00000000" w:rsidDel="00000000" w:rsidP="00000000" w:rsidRDefault="00000000" w:rsidRPr="00000000" w14:paraId="0000001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Variável alvo/problema a ser resolvido: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Revenue (booleana), que indica se a sessão terminou em compra. O objetivo é desenvolver um modelo de classificação binária capaz de prever, a partir do comportamento de navegação e de informações contextuais da sessão (mês, tipo de visitante, origem do tráfego etc.), se o visitante irá realizar uma compra.</w:t>
      </w:r>
    </w:p>
    <w:p w:rsidR="00000000" w:rsidDel="00000000" w:rsidP="00000000" w:rsidRDefault="00000000" w:rsidRPr="00000000" w14:paraId="00000013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Caracterização dos dados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: 12.330 instâncias (sessões) e 17 atributos preditivos, todos utilizados: 10 numéricos (contagem e duração de páginas administrativas, informativas e de produto; BounceRates; ExitRates; PageValues; SpecialDay) e 7 categóricos (Month, VisitorType, Weekend, OperatingSystems, Browser, Region e TrafficType). Após o One-Hot Encoding, os modelos recebem 75 colunas. As classes são desbalanceadas: 10.422 sessões sem compra (84,5%) e 1.908 com compra (15,5%), razão de 5,46:1.</w:t>
      </w:r>
    </w:p>
    <w:p w:rsidR="00000000" w:rsidDel="00000000" w:rsidP="00000000" w:rsidRDefault="00000000" w:rsidRPr="00000000" w14:paraId="00000014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2. Preparação dos dados</w:t>
      </w:r>
    </w:p>
    <w:p w:rsidR="00000000" w:rsidDel="00000000" w:rsidP="00000000" w:rsidRDefault="00000000" w:rsidRPr="00000000" w14:paraId="00000016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Resumo das decisões: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Atributos disponíveis e utilizados: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todos os 17 atributos foram mantidos. Nenhum se mostrou irrelevante ou problemático a ponto de justificar a remoção nesta etapa de spot-checking; a seleção de atributos fica para investigação posterior.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Valores ausentes e inconsistências: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dataset não possui valores faltantes. Foram encontradas 125 linhas duplicadas (1,01%), nenhuma com alvo conflitante. Elas foram mantidas, pois correspondem majoritariamente a sessões curtas legítimas (uma única página visitada, BounceRates = ExitRates = 0,2, sem compra), comportamento plausível de visitantes reais; removê-las alteraria a distribuição real dos dados, e o risco de vazamento entre folds é desprezível.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Codificação das variáveis: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os 7 atributos categóricos são nominais e foram codificados com One-Hot Encoding. OperatingSystems, Browser, Region e TrafficType são armazenados como inteiros, mas representam códigos sem relação de ordem (ex.: Region = 9 não é "maior" que Region = 1); tratá-los como numéricos imporia uma ordem e uma distância artificiais. Weekend (booleano) também foi tratado como categórico. A codificação é feita dentro do pipeline, com handle_unknown="ignore" para categorias raras ausentes em algum fold de treino.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Padronização: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os 10 atributos numéricos foram padronizados com StandardScaler (média 0, desvio-padrão 1). A EDA mostrou escalas muito diferentes e forte assimetria à direita (ex.: ProductRelated_Duration com mediana de ~599 s e máximo de ~63.974 s; PageValues igual a zero em mais de 75% das sessões). A padronização é necessária para modelos baseados em distância (kNN) e em otimização (Regressão Logística), e para o próprio SMOTENC, que usa vizinhos mais próximos.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Desbalanceamento de classes: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tratado com SMOTENC, variante do SMOTE para dados mistos, que balanceia o conjunto de treino em 1:1. Diferentemente do SMOTE, ele interpola apenas os atributos numéricos e atribui aos categóricos a categoria mais frequente entre os vizinhos, evitando amostras sintéticas impossíveis (ex.: uma sessão "37% em novembro"). O mesmo tratamento é aplicado a todos os algoritmos, mantendo a comparação justa.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Outras decisões que afetam a comparação: </w:t>
      </w:r>
      <w:r w:rsidDel="00000000" w:rsidR="00000000" w:rsidRPr="00000000">
        <w:rPr>
          <w:rFonts w:ascii="Arial Unicode MS" w:cs="Arial Unicode MS" w:eastAsia="Arial Unicode MS" w:hAnsi="Arial Unicode MS"/>
          <w:sz w:val="22"/>
          <w:szCs w:val="22"/>
          <w:rtl w:val="0"/>
        </w:rPr>
        <w:t xml:space="preserve">todas as etapas são encadeadas em um único pipeline (StandardScaler → SMOTENC → One-Hot Encoding → modelo), ajustado apenas no fold de treino de cada iteração da validação cruzada. Assim, as estatísticas de padronização, as categorias e as amostras sintéticas nunca utilizam dados de teste, evitando data leakage; o fold de teste mantém a distribuição original das classes.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3. Protocolo de avaliação</w:t>
      </w:r>
    </w:p>
    <w:p w:rsidR="00000000" w:rsidDel="00000000" w:rsidP="00000000" w:rsidRDefault="00000000" w:rsidRPr="00000000" w14:paraId="0000001F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73"/>
        <w:gridCol w:w="4873"/>
        <w:tblGridChange w:id="0">
          <w:tblGrid>
            <w:gridCol w:w="4873"/>
            <w:gridCol w:w="487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0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Tarefa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Classificação binária (Revenue: compra = 1 / não compra = 0).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2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Métrica principal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ROC-AUC. O dataset é desbalanceado (84,5% / 15,5%), o que torna a accuracy enganosa; a ROC-AUC independe do limiar de decisão e mede a capacidade de ordenar sessões com compra acima das sem compra, o que é útil para priorizar visitantes por propensão de compra.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Métricas avaliadas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ROC-AUC, F1-macro, Accuracy, Precision e Recall (classe positiva = compra).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6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Particionamento dos dados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Validação cruzada estratificada com 10 folds: em cada iteração, 90% dos dados (~11.097 sessões) para treino e 10% (~1.233) para teste, preservando a proporção de classes em cada fold. Não há conjunto holdout separado nesta etapa.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8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Estratégia de validação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RepeatedStratifiedKFold: 10 folds × 10 repetições, com embaralhamentos diferentes = 100 avaliações por algoritmo. Semente fixa (random_state = 42), garantindo as mesmas divisões para todos os algoritmos.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Tratamento do desbalanceamento de classes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SMOTENC aplicado somente ao fold de treino, balanceando as classes em 1:1. O fold de teste mantém a distribuição original.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C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Critério de comparação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Média e desvio-padrão da ROC-AUC nas 100 avaliações (critério principal) e sua distribuição em box plot. As demais métricas apoiam a comparação de modelos com ROC-AUC próximas e a análise do equilíbrio entre precision e recall.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E">
            <w:pPr>
              <w:jc w:val="both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Estratégias contra data leakage</w:t>
            </w:r>
          </w:p>
        </w:tc>
        <w:tc>
          <w:tcPr/>
          <w:p w:rsidR="00000000" w:rsidDel="00000000" w:rsidP="00000000" w:rsidRDefault="00000000" w:rsidRPr="00000000" w14:paraId="0000002F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Todo o pré-processamento (padronização, SMOTENC e One-Hot Encoding) é encapsulado em um pipeline (imbalanced-learn) ajustado apenas no fold de treino de cada iteração; nenhuma estatística, categoria ou amostra sintética é derivada dos dados de teste.</w:t>
            </w:r>
          </w:p>
        </w:tc>
      </w:tr>
    </w:tbl>
    <w:p w:rsidR="00000000" w:rsidDel="00000000" w:rsidP="00000000" w:rsidRDefault="00000000" w:rsidRPr="00000000" w14:paraId="00000030">
      <w:pPr>
        <w:spacing w:after="20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Observações: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reexecução completa do experimento reproduziu exatamente os mesmos valores, confirmando a reprodutibilidade. O paralelismo foi limitado a 4 processos (n_jobs = 4) por restrição de memória, sem efeito sobre os resultados.</w:t>
      </w:r>
    </w:p>
    <w:p w:rsidR="00000000" w:rsidDel="00000000" w:rsidP="00000000" w:rsidRDefault="00000000" w:rsidRPr="00000000" w14:paraId="00000031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4. Execução do Spot-Checking</w:t>
      </w:r>
    </w:p>
    <w:p w:rsidR="00000000" w:rsidDel="00000000" w:rsidP="00000000" w:rsidRDefault="00000000" w:rsidRPr="00000000" w14:paraId="00000032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74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36"/>
        <w:gridCol w:w="2436"/>
        <w:gridCol w:w="2436"/>
        <w:gridCol w:w="2436"/>
        <w:tblGridChange w:id="0">
          <w:tblGrid>
            <w:gridCol w:w="2436"/>
            <w:gridCol w:w="2436"/>
            <w:gridCol w:w="2436"/>
            <w:gridCol w:w="243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Modelo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Configuração utilizada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Motivo da inclusão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Observações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Regressão Logística</w:t>
            </w:r>
          </w:p>
        </w:tc>
        <w:tc>
          <w:tcPr/>
          <w:p w:rsidR="00000000" w:rsidDel="00000000" w:rsidP="00000000" w:rsidRDefault="00000000" w:rsidRPr="00000000" w14:paraId="00000038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max_iter = 1000; demais padrão (penalidade L2, C = 1, solver lbfgs).</w:t>
            </w:r>
          </w:p>
        </w:tc>
        <w:tc>
          <w:tcPr/>
          <w:p w:rsidR="00000000" w:rsidDel="00000000" w:rsidP="00000000" w:rsidRDefault="00000000" w:rsidRPr="00000000" w14:paraId="00000039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Modelo linear e paramétrico, baseado em otimização; baseline interpretável.</w:t>
            </w:r>
          </w:p>
        </w:tc>
        <w:tc>
          <w:tcPr/>
          <w:p w:rsidR="00000000" w:rsidDel="00000000" w:rsidP="00000000" w:rsidRDefault="00000000" w:rsidRPr="00000000" w14:paraId="0000003A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Requer padronização; sensível a atributos redundantes (ex.: BounceRates × ExitRates).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Árvore de Decisão</w:t>
            </w:r>
          </w:p>
        </w:tc>
        <w:tc>
          <w:tcPr/>
          <w:p w:rsidR="00000000" w:rsidDel="00000000" w:rsidP="00000000" w:rsidRDefault="00000000" w:rsidRPr="00000000" w14:paraId="0000003C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Padrão (critério Gini, sem limite de profundidade).</w:t>
            </w:r>
          </w:p>
        </w:tc>
        <w:tc>
          <w:tcPr/>
          <w:p w:rsidR="00000000" w:rsidDel="00000000" w:rsidP="00000000" w:rsidRDefault="00000000" w:rsidRPr="00000000" w14:paraId="0000003D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Representação simbólica (regras), não linear e não paramétrica.</w:t>
            </w:r>
          </w:p>
        </w:tc>
        <w:tc>
          <w:tcPr/>
          <w:p w:rsidR="00000000" w:rsidDel="00000000" w:rsidP="00000000" w:rsidRDefault="00000000" w:rsidRPr="00000000" w14:paraId="0000003E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Tende a sobreajustar; folhas puras geram probabilidades 0/1.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Árvore de Decisão (max_depth = 10)</w:t>
            </w:r>
          </w:p>
        </w:tc>
        <w:tc>
          <w:tcPr/>
          <w:p w:rsidR="00000000" w:rsidDel="00000000" w:rsidP="00000000" w:rsidRDefault="00000000" w:rsidRPr="00000000" w14:paraId="00000040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max_depth = 10; demais padrão.</w:t>
            </w:r>
          </w:p>
        </w:tc>
        <w:tc>
          <w:tcPr/>
          <w:p w:rsidR="00000000" w:rsidDel="00000000" w:rsidP="00000000" w:rsidRDefault="00000000" w:rsidRPr="00000000" w14:paraId="00000041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Variação mínima: pré-poda leve para avaliar o efeito do sobreajuste.</w:t>
            </w:r>
          </w:p>
        </w:tc>
        <w:tc>
          <w:tcPr/>
          <w:p w:rsidR="00000000" w:rsidDel="00000000" w:rsidP="00000000" w:rsidRDefault="00000000" w:rsidRPr="00000000" w14:paraId="00000042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Comparação direta com a árvore sem poda.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k-Nearest Neighbors</w:t>
            </w:r>
          </w:p>
        </w:tc>
        <w:tc>
          <w:tcPr/>
          <w:p w:rsidR="00000000" w:rsidDel="00000000" w:rsidP="00000000" w:rsidRDefault="00000000" w:rsidRPr="00000000" w14:paraId="00000044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k = 5, distância euclidiana, pesos uniformes.</w:t>
            </w:r>
          </w:p>
        </w:tc>
        <w:tc>
          <w:tcPr/>
          <w:p w:rsidR="00000000" w:rsidDel="00000000" w:rsidP="00000000" w:rsidRDefault="00000000" w:rsidRPr="00000000" w14:paraId="00000045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Baseado em instâncias (aprendizado preguiçoso), não paramétrico.</w:t>
            </w:r>
          </w:p>
        </w:tc>
        <w:tc>
          <w:tcPr/>
          <w:p w:rsidR="00000000" w:rsidDel="00000000" w:rsidP="00000000" w:rsidRDefault="00000000" w:rsidRPr="00000000" w14:paraId="00000046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Sensível à escala e à alta dimensionalidade (75 colunas após One-Hot).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Naive Bayes (Gaussiano)</w:t>
            </w:r>
          </w:p>
        </w:tc>
        <w:tc>
          <w:tcPr/>
          <w:p w:rsidR="00000000" w:rsidDel="00000000" w:rsidP="00000000" w:rsidRDefault="00000000" w:rsidRPr="00000000" w14:paraId="00000048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Padrão.</w:t>
            </w:r>
          </w:p>
        </w:tc>
        <w:tc>
          <w:tcPr/>
          <w:p w:rsidR="00000000" w:rsidDel="00000000" w:rsidP="00000000" w:rsidRDefault="00000000" w:rsidRPr="00000000" w14:paraId="00000049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Probabilístico e generativo; supõe independência condicional entre atributos.</w:t>
            </w:r>
          </w:p>
        </w:tc>
        <w:tc>
          <w:tcPr/>
          <w:p w:rsidR="00000000" w:rsidDel="00000000" w:rsidP="00000000" w:rsidRDefault="00000000" w:rsidRPr="00000000" w14:paraId="0000004A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Supõe atributos com distribuição normal, inadequado às colunas binárias do One-Hot.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B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Random Forest</w:t>
            </w:r>
          </w:p>
        </w:tc>
        <w:tc>
          <w:tcPr/>
          <w:p w:rsidR="00000000" w:rsidDel="00000000" w:rsidP="00000000" w:rsidRDefault="00000000" w:rsidRPr="00000000" w14:paraId="0000004C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n_estimators = 100; demais padrão.</w:t>
            </w:r>
          </w:p>
        </w:tc>
        <w:tc>
          <w:tcPr/>
          <w:p w:rsidR="00000000" w:rsidDel="00000000" w:rsidP="00000000" w:rsidRDefault="00000000" w:rsidRPr="00000000" w14:paraId="0000004D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Ensemble por bagging de árvores; reduz a variância.</w:t>
            </w:r>
          </w:p>
        </w:tc>
        <w:tc>
          <w:tcPr/>
          <w:p w:rsidR="00000000" w:rsidDel="00000000" w:rsidP="00000000" w:rsidRDefault="00000000" w:rsidRPr="00000000" w14:paraId="0000004E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Robusto a escalas, assimetria e outliers.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F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Gradient Boosting</w:t>
            </w:r>
          </w:p>
        </w:tc>
        <w:tc>
          <w:tcPr/>
          <w:p w:rsidR="00000000" w:rsidDel="00000000" w:rsidP="00000000" w:rsidRDefault="00000000" w:rsidRPr="00000000" w14:paraId="00000050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n_estimators = 100; learning_rate = 0,1; max_depth = 3 (padrão).</w:t>
            </w:r>
          </w:p>
        </w:tc>
        <w:tc>
          <w:tcPr/>
          <w:p w:rsidR="00000000" w:rsidDel="00000000" w:rsidP="00000000" w:rsidRDefault="00000000" w:rsidRPr="00000000" w14:paraId="00000051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Ensemble por boosting; reduz o viés de forma sequencial.</w:t>
            </w:r>
          </w:p>
        </w:tc>
        <w:tc>
          <w:tcPr/>
          <w:p w:rsidR="00000000" w:rsidDel="00000000" w:rsidP="00000000" w:rsidRDefault="00000000" w:rsidRPr="00000000" w14:paraId="00000052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Treino sequencial, mais lento; costuma se destacar em dados tabulares.</w:t>
            </w:r>
          </w:p>
        </w:tc>
      </w:tr>
    </w:tbl>
    <w:p w:rsidR="00000000" w:rsidDel="00000000" w:rsidP="00000000" w:rsidRDefault="00000000" w:rsidRPr="00000000" w14:paraId="00000053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20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sz w:val="18"/>
          <w:szCs w:val="18"/>
          <w:rtl w:val="0"/>
        </w:rPr>
        <w:t xml:space="preserve">Todos os modelos usam random_state = 42 (quando aplicável) e o mesmo pipeline StandardScaler → SMOTENC → One-Hot Encoding → modelo. O código completo está no notebook.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5. Resultados</w:t>
      </w:r>
    </w:p>
    <w:p w:rsidR="00000000" w:rsidDel="00000000" w:rsidP="00000000" w:rsidRDefault="00000000" w:rsidRPr="00000000" w14:paraId="00000056">
      <w:pPr>
        <w:pStyle w:val="Heading2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5.1 Tabela comparativa</w:t>
      </w:r>
    </w:p>
    <w:tbl>
      <w:tblPr>
        <w:tblStyle w:val="Table4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46"/>
        <w:gridCol w:w="1460"/>
        <w:gridCol w:w="1460"/>
        <w:gridCol w:w="1460"/>
        <w:gridCol w:w="1460"/>
        <w:gridCol w:w="1460"/>
        <w:tblGridChange w:id="0">
          <w:tblGrid>
            <w:gridCol w:w="2446"/>
            <w:gridCol w:w="1460"/>
            <w:gridCol w:w="1460"/>
            <w:gridCol w:w="1460"/>
            <w:gridCol w:w="1460"/>
            <w:gridCol w:w="1460"/>
          </w:tblGrid>
        </w:tblGridChange>
      </w:tblGrid>
      <w:tr>
        <w:trPr>
          <w:cantSplit w:val="0"/>
          <w:tblHeader w:val="1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57">
            <w:pPr>
              <w:spacing w:after="0" w:lineRule="auto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Modelo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58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ROC-AUC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59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F1-Macro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5A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Accuracy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5B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Precision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5C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Recall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D">
            <w:pPr>
              <w:spacing w:after="0" w:lineRule="auto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1. Gradient Boosting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0,9265 ± 0,0094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0,7979 ± 0,0138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0,8809 ± 0,0091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0,5878 ± 0,0244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2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0,7754 ± 0,0302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3">
            <w:pPr>
              <w:spacing w:after="0" w:lineRule="auto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2. Random Forest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4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0,9215 ± 0,0104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0,8025 ± 0,0144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0,8895 ± 0,0085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0,6225 ± 0,0258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0,7295 ± 0,0319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9">
            <w:pPr>
              <w:spacing w:after="0" w:lineRule="auto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3. Regressão Logística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A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0,8773 ± 0,0148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0,7451 ± 0,0148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0,8432 ± 0,0105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0,4961 ± 0,0232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E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0,7200 ± 0,0325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F">
            <w:pPr>
              <w:spacing w:after="0" w:lineRule="auto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4. Árvore (max_depth = 10)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0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0,8501 ± 0,0187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1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0,7675 ± 0,0152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2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0,8603 ± 0,0105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0,5360 ± 0,0255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4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0,7378 ± 0,0326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5">
            <w:pPr>
              <w:spacing w:after="0" w:lineRule="auto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5. kNN (k = 5)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6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0,8165 ± 0,0150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7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0,6784 ± 0,0117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8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0,7787 ± 0,0101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9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0,3843 ± 0,0151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0,7118 ± 0,0305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B">
            <w:pPr>
              <w:spacing w:after="0" w:lineRule="auto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6. Árvore de Decisão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C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0,7666 ± 0,0189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D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0,7388 ± 0,0159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E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0,8486 ± 0,0099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F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0,5089 ± 0,0253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0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0,6478 ± 0,0369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1">
            <w:pPr>
              <w:spacing w:after="0" w:lineRule="auto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7. Naive Bayes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0,6194 ± 0,0199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3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0,3349 ± 0,0198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0,3371 ± 0,0216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5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0,1793 ± 0,0053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6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0,9169 ± 0,0203</w:t>
            </w:r>
          </w:p>
        </w:tc>
      </w:tr>
    </w:tbl>
    <w:p w:rsidR="00000000" w:rsidDel="00000000" w:rsidP="00000000" w:rsidRDefault="00000000" w:rsidRPr="00000000" w14:paraId="00000087">
      <w:pPr>
        <w:spacing w:after="200" w:lineRule="auto"/>
        <w:jc w:val="center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Tabela 1 –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Média ± desvio-padrão em 100 avaliações (10 folds × 10 repetições), ordenado pela ROC-AUC (métrica principal). Em negrito, os três modelos selecionados.</w:t>
      </w:r>
    </w:p>
    <w:p w:rsidR="00000000" w:rsidDel="00000000" w:rsidP="00000000" w:rsidRDefault="00000000" w:rsidRPr="00000000" w14:paraId="00000088">
      <w:pPr>
        <w:jc w:val="both"/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2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5.2 Gráfico comparativo</w:t>
      </w:r>
    </w:p>
    <w:p w:rsidR="00000000" w:rsidDel="00000000" w:rsidP="00000000" w:rsidRDefault="00000000" w:rsidRPr="00000000" w14:paraId="0000008A">
      <w:pPr>
        <w:keepNext w:val="1"/>
        <w:spacing w:after="6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6035040" cy="2586445"/>
            <wp:effectExtent b="0" l="0" r="0" t="0"/>
            <wp:docPr descr="Box plot da distribuição da ROC-AUC por algoritmo nas 100 avaliações" id="1" name="image1.png"/>
            <a:graphic>
              <a:graphicData uri="http://schemas.openxmlformats.org/drawingml/2006/picture">
                <pic:pic>
                  <pic:nvPicPr>
                    <pic:cNvPr descr="Box plot da distribuição da ROC-AUC por algoritmo nas 100 avaliações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5864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200" w:lineRule="auto"/>
        <w:jc w:val="center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Figura 1 –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Distribuição da ROC-AUC por algoritmo nas 100 avaliações. GB e RF têm distribuições sobrepostas; a Regressão Logística vem em seguida, à frente das árvores individuais.</w:t>
      </w:r>
    </w:p>
    <w:p w:rsidR="00000000" w:rsidDel="00000000" w:rsidP="00000000" w:rsidRDefault="00000000" w:rsidRPr="00000000" w14:paraId="0000008C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6. Interpretação dos resultados</w:t>
      </w:r>
    </w:p>
    <w:p w:rsidR="00000000" w:rsidDel="00000000" w:rsidP="00000000" w:rsidRDefault="00000000" w:rsidRPr="00000000" w14:paraId="0000008D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both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Quais modelos apresentaram resultados mais promissores segundo o protocolo definido?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20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Gradient Boosting (ROC-AUC 0,927 ± 0,009) e Random Forest (0,922 ± 0,010) foram os mais promissores, com desempenho equivalente: a diferença (~0,005) é de cerca de meio desvio-padrão e as distribuições se sobrepõem no box plot. Ambos também lideram em F1-macro (0,798 e 0,803). A Regressão Logística (0,877) é o melhor modelo linear e ficou em terceiro.</w:t>
      </w:r>
    </w:p>
    <w:p w:rsidR="00000000" w:rsidDel="00000000" w:rsidP="00000000" w:rsidRDefault="00000000" w:rsidRPr="00000000" w14:paraId="00000090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both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Quais padrões, diferenças ou comportamentos relevantes foram observados entre os modelos?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20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Os ensembles superam claramente as árvores individuais: a árvore sem poda tem ROC-AUC de 0,767 porque gera folhas puras (probabilidades 0/1), e limitar a profundidade a 10 eleva o valor para 0,850, evidenciando o sobreajuste. O Naive Bayes colapsou (0,619; recall 0,92 e precision 0,18), pois o GaussianNB supõe atributos normais e 65 das 75 colunas são binárias (One-Hot). O kNN (0,817) é prejudicado pela alta dimensionalidade. Com o treino balanceado pelo SMOTENC, os modelos favorecem o recall em detrimento da precision, e vários ficam com accuracy abaixo do baseline de 84,5% (prever sempre "não compra"), o que confirma que a accuracy não é adequada como critério principal.</w:t>
      </w:r>
    </w:p>
    <w:p w:rsidR="00000000" w:rsidDel="00000000" w:rsidP="00000000" w:rsidRDefault="00000000" w:rsidRPr="00000000" w14:paraId="00000093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both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que os resultados sugerem sobre o problema e/ou sobre os dados?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20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problema tem relações não lineares e interações entre atributos, melhor capturadas por ensembles de árvores, que também são robustos à forte assimetria e às escalas distintas das variáveis. O desempenho depende muito de PageValues (correlação 0,49 com o alvo; taxa de compra de 56% quando PageValues &gt; 0 contra 4% quando = 0). Como esse atributo é calculado a partir de páginas visitadas antes de transações, pode carregar informação próxima do próprio alvo, um possível vazamento a investigar no T2. A representação dos dados (One-Hot de categorias com níveis raros) afeta mais os modelos sensíveis a ela (NB, kNN e LR) do que as árvores.</w:t>
      </w:r>
    </w:p>
    <w:p w:rsidR="00000000" w:rsidDel="00000000" w:rsidP="00000000" w:rsidRDefault="00000000" w:rsidRPr="00000000" w14:paraId="00000096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7. Seleção dos modelos para o T2</w:t>
      </w:r>
    </w:p>
    <w:p w:rsidR="00000000" w:rsidDel="00000000" w:rsidP="00000000" w:rsidRDefault="00000000" w:rsidRPr="00000000" w14:paraId="00000097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Modelos selecionados: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Gradient Boosting, Random Forest e Regressão Logística.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Gradient Boosting e Random Forest: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obtiveram as maiores ROC-AUC, com desempenho equivalente e baixa variância entre folds. Por serem ensembles com estratégias distintas (boosting e bagging), têm hiperparâmetros com grande potencial de ganho no T2: número de árvores, profundidade, taxa de aprendizado e mínimo de amostras por folha.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Regressão Logística: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terceira melhor ROC-AUC (0,877). A árvore com max_depth = 10 ficou próxima (0,850) e com F1-macro maior, mas a Regressão Logística foi preferida por trazer diversidade de viés indutivo (único modelo linear entre os melhores), coeficientes interpretáveis e margem de melhoria via regularização (C) e tratamento de atributos redundantes e categorias raras.</w:t>
      </w:r>
    </w:p>
    <w:p w:rsidR="00000000" w:rsidDel="00000000" w:rsidP="00000000" w:rsidRDefault="00000000" w:rsidRPr="00000000" w14:paraId="0000009B">
      <w:pPr>
        <w:spacing w:after="20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Próximos passos no T2: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otimização de hiperparâmetros com validação cruzada aninhada, avaliação do impacto de PageValues (possível vazamento) e comparação do SMOTENC com class_weight = "balanced".</w:t>
      </w:r>
    </w:p>
    <w:p w:rsidR="00000000" w:rsidDel="00000000" w:rsidP="00000000" w:rsidRDefault="00000000" w:rsidRPr="00000000" w14:paraId="0000009C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Uso de IA Generativa</w:t>
      </w:r>
    </w:p>
    <w:p w:rsidR="00000000" w:rsidDel="00000000" w:rsidP="00000000" w:rsidRDefault="00000000" w:rsidRPr="00000000" w14:paraId="0000009D">
      <w:pPr>
        <w:spacing w:after="20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grupo utilizou o assistente Claude (Anthropic), por meio do Claude Code, como apoio na revisão do código e da metodologia. Ele ajudou a identificar problemas como a ordem entre padronização e SMOTE, a codificação de atributos categóricos armazenados como inteiros e a incompatibilidade com o pandas 3, e sugeriu alternativas como o SMOTENC. Também foi usado na conversão do script para notebook e na redação de rascunhos deste relatório. Todas as sugestões foram revisadas, testadas e validadas pelo grupo, que compreende e é capaz de justificar as decisões e os resultados apresentados.</w:t>
      </w:r>
    </w:p>
    <w:p w:rsidR="00000000" w:rsidDel="00000000" w:rsidP="00000000" w:rsidRDefault="00000000" w:rsidRPr="00000000" w14:paraId="0000009E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bookmarkStart w:colFirst="0" w:colLast="0" w:name="_ebgt2gsr61gv" w:id="1"/>
      <w:bookmarkEnd w:id="1"/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Referências utilizadas</w:t>
      </w:r>
    </w:p>
    <w:p w:rsidR="00000000" w:rsidDel="00000000" w:rsidP="00000000" w:rsidRDefault="00000000" w:rsidRPr="00000000" w14:paraId="0000009F">
      <w:pPr>
        <w:spacing w:after="10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CHAWLA, N. V. et al. SMOTE: Synthetic Minority Over-sampling Technique. Journal of Artificial Intelligence Research, v. 16, p. 321–357, 2002.</w:t>
      </w:r>
    </w:p>
    <w:p w:rsidR="00000000" w:rsidDel="00000000" w:rsidP="00000000" w:rsidRDefault="00000000" w:rsidRPr="00000000" w14:paraId="000000A0">
      <w:pPr>
        <w:spacing w:after="10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FACELI, K. et al. Inteligência Artificial: uma abordagem de aprendizado de máquina. 2. ed. Rio de Janeiro: LTC, 2021.</w:t>
      </w:r>
    </w:p>
    <w:p w:rsidR="00000000" w:rsidDel="00000000" w:rsidP="00000000" w:rsidRDefault="00000000" w:rsidRPr="00000000" w14:paraId="000000A1">
      <w:pPr>
        <w:spacing w:after="10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LEMAÎTRE, G.; NOGUEIRA, F.; ARIDAS, C. K. Imbalanced-learn: a Python toolbox to tackle the curse of imbalanced datasets in machine learning. Journal of Machine Learning Research, v. 18, n. 17, p. 1–5, 2017.</w:t>
      </w:r>
    </w:p>
    <w:p w:rsidR="00000000" w:rsidDel="00000000" w:rsidP="00000000" w:rsidRDefault="00000000" w:rsidRPr="00000000" w14:paraId="000000A2">
      <w:pPr>
        <w:spacing w:after="10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PEDREGOSA, F. et al. Scikit-learn: Machine Learning in Python. Journal of Machine Learning Research, v. 12, p. 2825–2830, 2011.</w:t>
      </w:r>
    </w:p>
    <w:p w:rsidR="00000000" w:rsidDel="00000000" w:rsidP="00000000" w:rsidRDefault="00000000" w:rsidRPr="00000000" w14:paraId="000000A3">
      <w:pPr>
        <w:spacing w:after="10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SAKAR, C. O. et al. Real-time prediction of online shoppers’ purchasing intention using multilayer perceptron and LSTM recurrent neural networks. Neural Computing and Applications, v. 31, p. 6893–6908, 2019.</w:t>
      </w:r>
    </w:p>
    <w:p w:rsidR="00000000" w:rsidDel="00000000" w:rsidP="00000000" w:rsidRDefault="00000000" w:rsidRPr="00000000" w14:paraId="000000A4">
      <w:pPr>
        <w:spacing w:after="10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SAKAR, C. O.; KASTRO, Y. Online Shoppers Purchasing Intention Dataset. UCI Machine Learning Repository, 2018. Disponível em: https://archive.ics.uci.edu/dataset/468/online+shoppers+purchasing+intention+dataset.</w:t>
      </w:r>
    </w:p>
    <w:p w:rsidR="00000000" w:rsidDel="00000000" w:rsidP="00000000" w:rsidRDefault="00000000" w:rsidRPr="00000000" w14:paraId="000000A5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sectPr>
      <w:footerReference r:id="rId8" w:type="default"/>
      <w:pgSz w:h="15840" w:w="12240" w:orient="portrait"/>
      <w:pgMar w:bottom="1134" w:top="1134" w:left="1247" w:right="124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Arial Unicode MS"/>
  <w:font w:name="Apto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1"/>
        <w:szCs w:val="21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Aptos" w:cs="Aptos" w:eastAsia="Aptos" w:hAnsi="Aptos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Aptos" w:cs="Aptos" w:eastAsia="Aptos" w:hAnsi="Aptos"/>
      <w:b w:val="1"/>
      <w:bCs w:val="1"/>
      <w:color w:val="4f81bd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Aptos" w:cs="Aptos" w:eastAsia="Aptos" w:hAnsi="Aptos"/>
      <w:color w:val="17365d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80.0" w:type="dxa"/>
        <w:bottom w:w="0.0" w:type="dxa"/>
        <w:right w:w="8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colab.research.google.com/drive/1i8FuPJb3bnl58bVjca0j37UbdzNpzrSi" TargetMode="External"/><Relationship Id="rId7" Type="http://schemas.openxmlformats.org/officeDocument/2006/relationships/image" Target="media/image1.png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