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Resumo estruturado dos experimentos de Spot-Checking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Orientação geral. </w:t>
      </w:r>
    </w:p>
    <w:p w:rsidR="00000000" w:rsidDel="00000000" w:rsidP="00000000" w:rsidRDefault="00000000" w:rsidRPr="00000000" w14:paraId="00000004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deve apresentar, de forma concisa, as principais decisões, resultados e conclusões do T1. O notebook é o artefato principal para detalhar procedimentos, código, análises e resultados intermediários. Evite reproduzir no relatório todo o conteúdo do notebook.</w:t>
      </w:r>
    </w:p>
    <w:p w:rsidR="00000000" w:rsidDel="00000000" w:rsidP="00000000" w:rsidRDefault="00000000" w:rsidRPr="00000000" w14:paraId="0000000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Cada grupo deve entregar um documento conforme este template. Ao fazer a sua entrega, delete do documento esta primeira página de orientações.</w:t>
      </w:r>
    </w:p>
    <w:p w:rsidR="00000000" w:rsidDel="00000000" w:rsidP="00000000" w:rsidRDefault="00000000" w:rsidRPr="00000000" w14:paraId="0000000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Identificação do grupo</w:t>
      </w:r>
    </w:p>
    <w:tbl>
      <w:tblPr>
        <w:tblStyle w:val="Table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Cartão UFRGS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Jean Smaniotto Argoud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João Pedro Klippel Brusch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00344001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Matheus Krzesinski da Silva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Link para o notebook do Google Colab (ou google drive com arquivos do T1):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Google Colab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s9hw9isk2kw3" w:id="0"/>
      <w:bookmarkEnd w:id="0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1. Definição do problema</w:t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Título do trabalho: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Previsão da intenção de compra em sessões de e-commerce: spot-checking de algoritmos de classificação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Dataset: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Online Shoppers Purchasing Intention Dataset (Sakar et al., 2019), disponível no UCI Machine Learning Repository (ID 468): https://archive.ics.uci.edu/dataset/468/online+shoppers+purchasing+intention+dataset. Cada instância é uma sessão de navegação em uma loja online, coletada ao longo de um ano, com métricas de páginas visitadas, tempo de permanência e indicadores do Google Analytics.</w:t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Variável alvo/problema a ser resolvido: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Revenue (booleana), que indica se a sessão terminou em compra. O objetivo é desenvolver um modelo de classificação binária capaz de prever, a partir do comportamento de navegação e de informações contextuais da sessão (mês, tipo de visitante, origem do tráfego etc.), se o visitante irá realizar uma compra.</w:t>
      </w:r>
    </w:p>
    <w:p w:rsidR="00000000" w:rsidDel="00000000" w:rsidP="00000000" w:rsidRDefault="00000000" w:rsidRPr="00000000" w14:paraId="0000002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Caracterização dos dados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: 12.330 instâncias (sessões) e 17 atributos preditivos, todos utilizados: 10 numéricos (contagem e duração de páginas administrativas, informativas e de produto; BounceRates; ExitRates; PageValues; SpecialDay) e 7 categóricos (Month, VisitorType, Weekend, OperatingSystems, Browser, Region e TrafficType). Após o One-Hot Encoding, os modelos recebem 75 colunas. As classes são desbalanceadas: 10.422 sessões sem compra (84,5%) e 1.908 com compra (15,5%), razão de 5,46:1.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2. Preparação dos dados</w:t>
      </w:r>
    </w:p>
    <w:p w:rsidR="00000000" w:rsidDel="00000000" w:rsidP="00000000" w:rsidRDefault="00000000" w:rsidRPr="00000000" w14:paraId="00000031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Resumo das decisões: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Atributos disponíveis e utilizados: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17 atributos foram mantidos. Nenhum se mostrou irrelevante ou problemático a ponto de justificar a remoção nesta etapa de spot-checking; a seleção de atributos fica para investigação posterior.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Valores ausentes e inconsistências: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dataset não possui valores faltantes. Foram encontradas 125 linhas duplicadas (1,01%), nenhuma com alvo conflitante. Elas foram mantidas, pois correspondem majoritariamente a sessões curtas legítimas (uma única página visitada, BounceRates = ExitRates = 0,2, sem compra), comportamento plausível de visitantes reais; removê-las alteraria a distribuição real dos dados, e o risco de vazamento entre folds é desprezível.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Codificação das variáveis: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7 atributos categóricos são nominais e foram codificados com One-Hot Encoding. OperatingSystems, Browser, Region e TrafficType são armazenados como inteiros, mas representam códigos sem relação de ordem (ex.: Region = 9 não é "maior" que Region = 1); tratá-los como numéricos imporia uma ordem e uma distância artificiais. Weekend (booleano) também foi tratado como categórico. A codificação é feita dentro do pipeline, com handle_unknown="ignore" para categorias raras ausentes em algum fold de treino.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Padronização: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10 atributos numéricos foram padronizados com StandardScaler (média 0, desvio-padrão 1). A EDA mostrou escalas muito diferentes e forte assimetria à direita (ex.: ProductRelated_Duration com mediana de ~599 s e máximo de ~63.974 s; PageValues igual a zero em mais de 75% das sessões). A padronização é necessária para modelos baseados em distância (kNN) e em otimização (Regressão Logística), e para o próprio SMOTENC, que usa vizinhos mais próximos.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Desbalanceamento de classes: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tratado com SMOTENC, variante do SMOTE para dados mistos, que balanceia o conjunto de treino em 1:1. Diferentemente do SMOTE, ele interpola apenas os atributos numéricos e atribui aos categóricos a categoria mais frequente entre os vizinhos, evitando amostras sintéticas impossíveis (ex.: uma sessão "37% em novembro"). O mesmo tratamento é aplicado a todos os algoritmos, mantendo a comparação justa.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Outras decisões que afetam a comparação: </w:t>
      </w: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todas as etapas são encadeadas em um único pipeline (StandardScaler → SMOTENC → One-Hot Encoding → modelo), ajustado apenas no fold de treino de cada iteração da validação cruzada. Assim, as estatísticas de padronização, as categorias e as amostras sintéticas nunca utilizam dados de teste, evitando data leakage; o fold de teste mantém a distribuição original das classes.</w:t>
      </w:r>
    </w:p>
    <w:p w:rsidR="00000000" w:rsidDel="00000000" w:rsidP="00000000" w:rsidRDefault="00000000" w:rsidRPr="00000000" w14:paraId="00000039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3. Protocolo de avaliação</w:t>
      </w:r>
    </w:p>
    <w:p w:rsidR="00000000" w:rsidDel="00000000" w:rsidP="00000000" w:rsidRDefault="00000000" w:rsidRPr="00000000" w14:paraId="0000003A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Descreva como os modelos serão comparados, preenchendo a tabela abaixo. Adicione observações adicionais necessárias em um parágrafo após a tabela.</w:t>
      </w:r>
    </w:p>
    <w:tbl>
      <w:tblPr>
        <w:tblStyle w:val="Table2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[Classificação / regressão]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[Preencher. Por que essa métrica é adequada ao problema?]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Métricas avaliadas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Particionamento dos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[Preencher.  Especifique proporções de forma clara.]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 de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[Preencher. Especifique número de repetições de forma clara.  Ex.: validação cruzada estratificada k-fold]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Tratamento do desbalanceamento de classes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 / não se aplica]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Critério de comparação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[Como os modelos serão comparados]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Estratégias contra data leakage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[Preencher]</w:t>
            </w:r>
          </w:p>
        </w:tc>
      </w:tr>
    </w:tbl>
    <w:p w:rsidR="00000000" w:rsidDel="00000000" w:rsidP="00000000" w:rsidRDefault="00000000" w:rsidRPr="00000000" w14:paraId="0000004C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4. Execução do Spot-Checking</w:t>
      </w:r>
    </w:p>
    <w:p w:rsidR="00000000" w:rsidDel="00000000" w:rsidP="00000000" w:rsidRDefault="00000000" w:rsidRPr="00000000" w14:paraId="0000004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Liste os algoritmos avaliados e registre, de forma sucinta, as configurações dos hiperparâmetros utilizadas. O objetivo desta etapa é identificar modelos promissores para investigação mais aprofundada no T2.</w:t>
      </w:r>
    </w:p>
    <w:tbl>
      <w:tblPr>
        <w:tblStyle w:val="Table3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Configuração utilizada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Motivo da inclusão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Observações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[Modelo 1]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[Hiperparâmetros]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[Justificativa]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[Observações]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[Modelo 2]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[Hiperparâmetros]</w:t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[Justificativa]</w:t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[Observações]</w:t>
            </w:r>
          </w:p>
        </w:tc>
      </w:tr>
    </w:tbl>
    <w:p w:rsidR="00000000" w:rsidDel="00000000" w:rsidP="00000000" w:rsidRDefault="00000000" w:rsidRPr="00000000" w14:paraId="0000005B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Adicione linhas conforme necessário. Não é necessário apresentar aqui todo o código de execução; ele deve estar disponível no notebook.</w:t>
      </w:r>
    </w:p>
    <w:p w:rsidR="00000000" w:rsidDel="00000000" w:rsidP="00000000" w:rsidRDefault="00000000" w:rsidRPr="00000000" w14:paraId="0000005D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 Resultados</w:t>
      </w:r>
    </w:p>
    <w:p w:rsidR="00000000" w:rsidDel="00000000" w:rsidP="00000000" w:rsidRDefault="00000000" w:rsidRPr="00000000" w14:paraId="0000005E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5.1 Tabela comparativa</w:t>
      </w:r>
    </w:p>
    <w:p w:rsidR="00000000" w:rsidDel="00000000" w:rsidP="00000000" w:rsidRDefault="00000000" w:rsidRPr="00000000" w14:paraId="0000005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Apresente os resultados obtidos para os modelos analisados em tabela, com a média e o desvio padrão das métricas analisadas.</w:t>
      </w:r>
    </w:p>
    <w:p w:rsidR="00000000" w:rsidDel="00000000" w:rsidP="00000000" w:rsidRDefault="00000000" w:rsidRPr="00000000" w14:paraId="00000060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[Inserir tabela comparativa aqui]</w:t>
      </w:r>
    </w:p>
    <w:p w:rsidR="00000000" w:rsidDel="00000000" w:rsidP="00000000" w:rsidRDefault="00000000" w:rsidRPr="00000000" w14:paraId="00000061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5.2 Gráfico comparativo</w:t>
      </w:r>
    </w:p>
    <w:p w:rsidR="00000000" w:rsidDel="00000000" w:rsidP="00000000" w:rsidRDefault="00000000" w:rsidRPr="00000000" w14:paraId="0000006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Insira um gráfico que permita comparar visualmente o desempenho dos modelos segundo a(s) métrica(s) definida(s) no protocolo.</w:t>
      </w:r>
    </w:p>
    <w:p w:rsidR="00000000" w:rsidDel="00000000" w:rsidP="00000000" w:rsidRDefault="00000000" w:rsidRPr="00000000" w14:paraId="00000064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[Inserir gráfico comparativo aqui]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6. Interpretação dos resultados</w:t>
      </w:r>
    </w:p>
    <w:p w:rsidR="00000000" w:rsidDel="00000000" w:rsidP="00000000" w:rsidRDefault="00000000" w:rsidRPr="00000000" w14:paraId="0000006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Interprete os resultados com foco na comparação entre os modelos e nas evidências que justificam as decisões para o T2. Evite apenas repetir os valores apresentados na tabela.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modelos apresentaram resultados mais promissores segundo o protocolo definido?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6A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padrões, diferenças ou comportamentos relevantes foram observados entre os modelos?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6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que os resultados sugerem sobre o problema e/ou sobre os dados?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70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7. Seleção dos modelos para o T2</w:t>
      </w:r>
    </w:p>
    <w:p w:rsidR="00000000" w:rsidDel="00000000" w:rsidP="00000000" w:rsidRDefault="00000000" w:rsidRPr="00000000" w14:paraId="00000071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Relate sobre os modelos selecionados para o T2 e justifique a escolha com base nos resultados do Spot-Checking. A seleção não precisa considerar apenas a maior métrica: aspectos como comportamento observado, características do problema e possibilidade de aprofundamento também podem ser considerados, desde que explicitados.</w:t>
      </w:r>
    </w:p>
    <w:p w:rsidR="00000000" w:rsidDel="00000000" w:rsidP="00000000" w:rsidRDefault="00000000" w:rsidRPr="00000000" w14:paraId="00000073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Uso de IA Generativa</w:t>
      </w:r>
    </w:p>
    <w:p w:rsidR="00000000" w:rsidDel="00000000" w:rsidP="00000000" w:rsidRDefault="00000000" w:rsidRPr="00000000" w14:paraId="00000074">
      <w:pPr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Ferramentas de Inteligência Artificial Generativa podem ser utilizadas como recurso complementar durante a realização do trabalho, por exemplo, para esclarecer conceitos, sugerir alternativas, auxiliar na identificação de erros ou apoiar a organização do código e do texto. Entretanto, seu uso não substitui a análise e a tomada de decisão pelos estudantes. Todas as decisões metodológicas, implementações, resultados e interpretações apresentadas no trabalho devem ser compreendidas pelos autores, que devem ser capazes de explicar e justificar as escolhas realizadas e os resultados obtidos.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Quando o uso de IA Generativa tiver contribuído de forma relevante para o desenvolvimento do trabalho, isso deve ser informado neste relatório, conforme as orientações da disciplina.</w:t>
      </w:r>
    </w:p>
    <w:p w:rsidR="00000000" w:rsidDel="00000000" w:rsidP="00000000" w:rsidRDefault="00000000" w:rsidRPr="00000000" w14:paraId="0000007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ufgz3i40p2sm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Referências utilizadas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Cite as referências utilizadas no desenvolvimento do trabalho.</w:t>
      </w:r>
    </w:p>
    <w:p w:rsidR="00000000" w:rsidDel="00000000" w:rsidP="00000000" w:rsidRDefault="00000000" w:rsidRPr="00000000" w14:paraId="0000007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rial Unicode MS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T1 — Spot-Check Summary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ptos" w:cs="Aptos" w:eastAsia="Aptos" w:hAnsi="Aptos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ptos" w:cs="Aptos" w:eastAsia="Aptos" w:hAnsi="Aptos"/>
      <w:b w:val="1"/>
      <w:bCs w:val="1"/>
      <w:color w:val="4f81b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ptos" w:cs="Aptos" w:eastAsia="Aptos" w:hAnsi="Aptos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olab.research.google.com/drive/1PGY5BkEpFjgY-NUD03Vv9SfHGaZqCBAo?usp=sharing" TargetMode="Externa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