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T1 — Spot-Check Summary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Resumo estruturado dos experimentos de Spot-Checking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Orientação geral.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Este documento deve apresentar, de forma concisa, as principais decisões, resultados e conclusões do T1. O notebook é o artefato principal para detalhar procedimentos, código, análises e resultados intermediários. Evite reproduzir no relatório todo o conteúdo do notebook.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Cada grupo deve entregar um documento conforme este template. Ao fazer a sua entrega, delete do documento esta primeira página de orientações.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T1 — Spot-Check Summary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Identificação do grupo</w:t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Cartão UFRGS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Link para o notebook do Google Colab (ou google drive com arquivos do T1):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&lt;digite aqui o link&gt;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mmbord8qr3n4" w:id="0"/>
      <w:bookmarkEnd w:id="0"/>
      <w:r>
        <w:rPr>
          <w:rFonts w:ascii="Arial" w:cs="Arial" w:eastAsia="Arial" w:hAnsi="Arial"/>
          <w:sz w:val="22"/>
          <w:szCs w:val="22"/>
          <w:rtl w:val="0"/>
        </w:rPr>
        <w:t xml:space="preserve">1. Definição do problema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do trabalho:</w:t>
      </w:r>
      <w:r>
        <w:rPr>
          <w:rFonts w:ascii="Arial" w:cs="Arial" w:eastAsia="Arial" w:hAnsi="Arial"/>
          <w:sz w:val="22"/>
          <w:szCs w:val="22"/>
          <w:rtl w:val="0"/>
        </w:rPr>
        <w:t xml:space="preserve"> Previsão da intenção de compra em sessões de e-commerce: spot-checking de algoritmos de classificação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Dataset: </w:t>
      </w:r>
      <w:r>
        <w:rPr>
          <w:rFonts w:ascii="Arial" w:cs="Arial" w:eastAsia="Arial" w:hAnsi="Arial"/>
          <w:sz w:val="22"/>
          <w:szCs w:val="22"/>
          <w:rtl w:val="0"/>
        </w:rPr>
        <w:t xml:space="preserve">Online Shoppers Purchasing Intention Dataset (Sakar et al., 2019), disponível no UCI Machine Learning Repository (ID 468): https://archive.ics.uci.edu/dataset/468/online+shoppers+purchasing+intention+dataset. Cada instância é uma sessão de navegação em uma loja online, coletada ao longo de um ano, com métricas de páginas visitadas, tempo de permanência e indicadores do Google Analytics.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Variável alvo/problema a ser resolvido: </w:t>
      </w:r>
      <w:r>
        <w:rPr>
          <w:rFonts w:ascii="Arial" w:cs="Arial" w:eastAsia="Arial" w:hAnsi="Arial"/>
          <w:sz w:val="22"/>
          <w:szCs w:val="22"/>
          <w:rtl w:val="0"/>
        </w:rPr>
        <w:t xml:space="preserve">Revenue (booleana), que indica se a sessão terminou em compra. O objetivo é desenvolver um modelo de classificação binária capaz de prever, a partir do comportamento de navegação e de informações contextuais da sessão (mês, tipo de visitante, origem do tráfego etc.), se o visitante irá realizar uma compra.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Caracterização dos dados</w:t>
      </w:r>
      <w:r>
        <w:rPr>
          <w:rFonts w:ascii="Arial" w:cs="Arial" w:eastAsia="Arial" w:hAnsi="Arial"/>
          <w:sz w:val="22"/>
          <w:szCs w:val="22"/>
          <w:rtl w:val="0"/>
        </w:rPr>
        <w:t xml:space="preserve">: 12.330 instâncias (sessões) e 17 atributos preditivos, todos utilizados: 10 numéricos (contagem e duração de páginas administrativas, informativas e de produto; BounceRates; ExitRates; PageValues; SpecialDay) e 7 categóricos (Month, VisitorType, Weekend, OperatingSystems, Browser, Region e TrafficType). Após o One-Hot Encoding, os modelos recebem 75 colunas. As classes são desbalanceadas: 10.422 sessões sem compra (84,5%) e 1.908 com compra (15,5%), razão de 5,46:1.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2. Preparação dos dados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Descreva as decisões de preparação que foram necessárias para o dataset escolhido, incluindo: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Atributos disponíveis e utilizados.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valores ausentes e inconsistências, quando aplicável.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Codificação e/ou transformação das variáveis.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Normalização ou padronização, quando aplicável.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desbalanceamento de classes, quando aplicável.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Outras decisões de pré-processamento que possam afetar a comparação entre modelos.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Resumo das decisões: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Atributos disponíveis e utilizados: </w:t>
      </w:r>
      <w:r>
        <w:rPr>
          <w:rFonts w:ascii="Arial" w:cs="Arial" w:eastAsia="Arial" w:hAnsi="Arial"/>
          <w:sz w:val="22"/>
          <w:szCs w:val="22"/>
          <w:rtl w:val="0"/>
        </w:rPr>
        <w:t xml:space="preserve">todos os 17 atributos foram mantidos. Nenhum se mostrou irrelevante ou problemático a ponto de justificar a remoção nesta etapa de spot-checking; a seleção de atributos fica para investigação posterior.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Valores ausentes e inconsistências: </w:t>
      </w:r>
      <w:r>
        <w:rPr>
          <w:rFonts w:ascii="Arial" w:cs="Arial" w:eastAsia="Arial" w:hAnsi="Arial"/>
          <w:sz w:val="22"/>
          <w:szCs w:val="22"/>
          <w:rtl w:val="0"/>
        </w:rPr>
        <w:t xml:space="preserve">o dataset não possui valores faltantes. Foram encontradas 125 linhas duplicadas (1,01%), nenhuma com alvo conflitante. Elas foram mantidas, pois correspondem majoritariamente a sessões curtas legítimas (uma única página visitada, BounceRates = ExitRates = 0,2, sem compra), comportamento plausível de visitantes reais; removê-las alteraria a distribuição real dos dados, e o risco de vazamento entre folds é desprezível.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Codificação das variáveis: </w:t>
      </w:r>
      <w:r>
        <w:rPr>
          <w:rFonts w:ascii="Arial" w:cs="Arial" w:eastAsia="Arial" w:hAnsi="Arial"/>
          <w:sz w:val="22"/>
          <w:szCs w:val="22"/>
          <w:rtl w:val="0"/>
        </w:rPr>
        <w:t xml:space="preserve">os 7 atributos categóricos são nominais e foram codificados com One-Hot Encoding. OperatingSystems, Browser, Region e TrafficType são armazenados como inteiros, mas representam códigos sem relação de ordem (ex.: Region = 9 não é "maior" que Region = 1); tratá-los como numéricos imporia uma ordem e uma distância artificiais. Weekend (booleano) também foi tratado como categórico. A codificação é feita dentro do pipeline, com handle_unknown="ignore" para categorias raras ausentes em algum fold de treino.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Padronização: </w:t>
      </w:r>
      <w:r>
        <w:rPr>
          <w:rFonts w:ascii="Arial" w:cs="Arial" w:eastAsia="Arial" w:hAnsi="Arial"/>
          <w:sz w:val="22"/>
          <w:szCs w:val="22"/>
          <w:rtl w:val="0"/>
        </w:rPr>
        <w:t xml:space="preserve">os 10 atributos numéricos foram padronizados com StandardScaler (média 0, desvio-padrão 1). A EDA mostrou escalas muito diferentes e forte assimetria à direita (ex.: ProductRelated_Duration com mediana de ~599 s e máximo de ~63.974 s; PageValues igual a zero em mais de 75% das sessões). A padronização é necessária para modelos baseados em distância (kNN) e em otimização (Regressão Logística), e para o próprio SMOTENC, que usa vizinhos mais próximos.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Desbalanceamento de classes: </w:t>
      </w:r>
      <w:r>
        <w:rPr>
          <w:rFonts w:ascii="Arial" w:cs="Arial" w:eastAsia="Arial" w:hAnsi="Arial"/>
          <w:sz w:val="22"/>
          <w:szCs w:val="22"/>
          <w:rtl w:val="0"/>
        </w:rPr>
        <w:t xml:space="preserve">tratado com SMOTENC, variante do SMOTE para dados mistos, que balanceia o conjunto de treino em 1:1. Diferentemente do SMOTE, ele interpola apenas os atributos numéricos e atribui aos categóricos a categoria mais frequente entre os vizinhos, evitando amostras sintéticas impossíveis (ex.: uma sessão "37% em novembro"). O mesmo tratamento é aplicado a todos os algoritmos, mantendo a comparação justa.</w:t>
      </w:r>
    </w:p>
    <w:p>
      <w:pPr>
        <w:spacing w:after="12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Outras decisões que afetam a comparação: </w:t>
      </w:r>
      <w:r>
        <w:rPr>
          <w:rFonts w:ascii="Arial" w:cs="Arial" w:eastAsia="Arial" w:hAnsi="Arial"/>
          <w:sz w:val="22"/>
          <w:szCs w:val="22"/>
          <w:rtl w:val="0"/>
        </w:rPr>
        <w:t xml:space="preserve">todas as etapas são encadeadas em um único pipeline (StandardScaler → SMOTENC → One-Hot Encoding → modelo), ajustado apenas no fold de treino de cada iteração da validação cruzada. Assim, as estatísticas de padronização, as categorias e as amostras sintéticas nunca utilizam dados de teste, evitando data leakage; o fold de teste mantém a distribuição original das classes.</w:t>
      </w:r>
    </w:p>
    <w:p w:rsidR="00000000" w:rsidDel="00000000" w:rsidP="00000000" w:rsidRDefault="00000000" w:rsidRPr="00000000" w14:paraId="0000003B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3. Protocolo de avaliação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Descreva como os modelos serão comparados, preenchendo a tabela abaixo. Adicione observações adicionais necessárias em um parágrafo após a tabela.</w:t>
      </w:r>
    </w:p>
    <w:tbl>
      <w:tblPr>
        <w:tblStyle w:val="Table2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Tarefa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[Classificação / regressão]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Métrica principal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[Preencher. Por que essa métrica é adequada ao problema?]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Métricas avaliadas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Particionamento dos dados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[Preencher.  Especifique proporções de forma clara.]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Estratégia de validação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[Preencher. Especifique número de repetições de forma clara.  Ex.: validação cruzada estratificada k-fold]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Tratamento do desbalanceamento de classes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 / não se aplica]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Critério de comparação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[Como os modelos serão comparados]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Estratégias contra data leakage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[Preencher]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4. Execução do Spot-Checking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Liste os algoritmos avaliados e registre, de forma sucinta, as configurações dos hiperparâmetros utilizadas. O objetivo desta etapa é identificar modelos promissores para investigação mais aprofundada no T2.</w:t>
      </w:r>
    </w:p>
    <w:tbl>
      <w:tblPr>
        <w:tblStyle w:val="Table3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Configuração utilizada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Motivo da inclusão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[Modelo 1]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[Hiperparâmetros]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[Justificativa]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[Observações]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[Modelo 2]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[Hiperparâmetros]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[Justificativa]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[Observações]</w:t>
            </w:r>
          </w:p>
        </w:tc>
      </w:tr>
    </w:tbl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Adicione linhas conforme necessário. Não é necessário apresentar aqui todo o código de execução; ele deve estar disponível no notebook.</w:t>
      </w:r>
    </w:p>
    <w:p w:rsidR="00000000" w:rsidDel="00000000" w:rsidP="00000000" w:rsidRDefault="00000000" w:rsidRPr="00000000" w14:paraId="0000005F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 Resultados</w:t>
      </w:r>
    </w:p>
    <w:p w:rsidR="00000000" w:rsidDel="00000000" w:rsidP="00000000" w:rsidRDefault="00000000" w:rsidRPr="00000000" w14:paraId="00000060">
      <w:pPr>
        <w:pStyle w:val="Heading2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5.1 Tabela comparativa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Apresente os resultados obtidos para os modelos analisados em tabela, com a média e o desvio padrão das métricas analisadas.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[Inserir tabela comparativa aqui]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5.2 Gráfico comparativo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Insira um gráfico que permita comparar visualmente o desempenho dos modelos segundo a(s) métrica(s) definida(s) no protocolo.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[Inserir gráfico comparativo aqui]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6. Interpretação dos resultados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Interprete os resultados com foco na comparação entre os modelos e nas evidências que justificam as decisões para o T2. Evite apenas repetir os valores apresentados na tabela.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modelos apresentaram resultados mais promissores segundo o protocolo definido?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padrões, diferenças ou comportamentos relevantes foram observados entre os modelos?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os resultados sugerem sobre o problema e/ou sobre os dados?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72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7. Seleção dos modelos para o T2</w:t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Relate sobre os modelos selecionados para o T2 e justifique a escolha com base nos resultados do Spot-Checking. A seleção não precisa considerar apenas a maior métrica: aspectos como comportamento observado, características do problema e possibilidade de aprofundamento também podem ser considerados, desde que explicitados.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Uso de IA Generativa</w:t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Ferramentas de Inteligência Artificial Generativa podem ser utilizadas como recurso complementar durante a realização do trabalho, por exemplo, para esclarecer conceitos, sugerir alternativas, auxiliar na identificação de erros ou apoiar a organização do código e do texto. Entretanto, seu uso não substitui a análise e a tomada de decisão pelos estudantes. Todas as decisões metodológicas, implementações, resultados e interpretações apresentadas no trabalho devem ser compreendidas pelos autores, que devem ser capazes de explicar e justificar as escolhas realizadas e os resultados obtidos.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Quando o uso de IA Generativa tiver contribuído de forma relevante para o desenvolvimento do trabalho, isso deve ser informado neste relatório, conforme as orientações da disciplina.</w:t>
      </w:r>
    </w:p>
    <w:p w:rsidR="00000000" w:rsidDel="00000000" w:rsidP="00000000" w:rsidRDefault="00000000" w:rsidRPr="00000000" w14:paraId="00000077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ujqo1hw6u0tc" w:id="1"/>
      <w:bookmarkEnd w:id="1"/>
      <w:r>
        <w:rPr>
          <w:rFonts w:ascii="Arial" w:cs="Arial" w:eastAsia="Arial" w:hAnsi="Arial"/>
          <w:sz w:val="22"/>
          <w:szCs w:val="22"/>
          <w:rtl w:val="0"/>
        </w:rPr>
        <w:t xml:space="preserve">Referências utilizadas</w:t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  <w:t xml:space="preserve">Cite as referências utilizadas no desenvolvimento do trabalho.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sectPr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T1 — Spot-Check Summary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OocbzVwd3sUjn4MnWG9tPDOpA==">CgMxLjAyDmgubW1ib3JkOHFyM240Mg5oLnVqcW8xaHc2dTB0YzgAciExZnZQZW91QURsTzkzZG00MERVdDJqVTk1QXFoeGxZR28=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