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288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T1 — Spot-Check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Identificação do grupo</w:t>
      </w:r>
    </w:p>
    <w:tbl>
      <w:tblPr>
        <w:tblStyle w:val="Table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Cartão UFRGS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Jean Smaniotto Argoud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João Pedro Klippel Brusch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00344001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Matheus Krzesinski da Silva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Link para o notebook do Google Colab (ou google drive com arquivos do T1):</w:t>
      </w:r>
    </w:p>
    <w:p w:rsidR="00000000" w:rsidDel="00000000" w:rsidP="00000000" w:rsidRDefault="00000000" w:rsidRPr="00000000" w14:paraId="0000000D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color w:val="1155cc"/>
            <w:sz w:val="22"/>
            <w:szCs w:val="22"/>
            <w:u w:val="single"/>
            <w:rtl w:val="0"/>
          </w:rPr>
          <w:t xml:space="preserve">Google Colab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2kkyup7at5vr" w:id="0"/>
      <w:bookmarkEnd w:id="0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1. Definição do problema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Título do trabalho: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Previsão da intenção de compra em sessões de e-commerce: spot-checking de algoritmos de classificação</w:t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Dataset: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Online Shoppers Purchasing Intention Dataset (Sakar et al., 2019), disponível no UCI Machine Learning Repository (ID 468): https://archive.ics.uci.edu/dataset/468/online+shoppers+purchasing+intention+dataset. Cada instância é uma sessão de navegação em uma loja online, coletada ao longo de um ano, com métricas de páginas visitadas, tempo de permanência e indicadores do Google Analytics.</w: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Variável alvo/problema a ser resolvido: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Revenue (booleana), que indica se a sessão terminou em compra. O objetivo é desenvolver um modelo de classificação binária capaz de prever, a partir do comportamento de navegação e de informações contextuais da sessão (mês, tipo de visitante, origem do tráfego etc.), se o visitante irá realizar uma compra.</w:t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Caracterização dos dados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: 12.330 instâncias (sessões) e 17 atributos preditivos, todos utilizados: 10 numéricos (contagem e duração de páginas administrativas, informativas e de produto; BounceRates; ExitRates; PageValues; SpecialDay) e 7 categóricos (Month, VisitorType, Weekend, OperatingSystems, Browser, Region e TrafficType). Após o One-Hot Encoding, os modelos recebem 75 colunas. As classes são desbalanceadas: 10.422 sessões sem compra (84,5%) e 1.908 com compra (15,5%), razão de 5,46:1.</w:t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2. Preparação dos dados</w:t>
      </w:r>
    </w:p>
    <w:p w:rsidR="00000000" w:rsidDel="00000000" w:rsidP="00000000" w:rsidRDefault="00000000" w:rsidRPr="00000000" w14:paraId="00000016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Resumo das decisões: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Atributos disponíveis e utilizados: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17 atributos foram mantidos. Nenhum se mostrou irrelevante ou problemático a ponto de justificar a remoção nesta etapa de spot-checking; a seleção de atributos fica para investigação posterior.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Valores ausentes e inconsistências: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dataset não possui valores faltantes. Foram encontradas 125 linhas duplicadas (1,01%), nenhuma com alvo conflitante. Elas foram mantidas, pois correspondem majoritariamente a sessões curtas legítimas (uma única página visitada, BounceRates = ExitRates = 0,2, sem compra), comportamento plausível de visitantes reais; removê-las alteraria a distribuição real dos dados, e o risco de vazamento entre folds é desprezível.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Codificação das variáveis: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7 atributos categóricos são nominais e foram codificados com One-Hot Encoding. OperatingSystems, Browser, Region e TrafficType são armazenados como inteiros, mas representam códigos sem relação de ordem (ex.: Region = 9 não é "maior" que Region = 1); tratá-los como numéricos imporia uma ordem e uma distância artificiais. Weekend (booleano) também foi tratado como categórico. A codificação é feita dentro do pipeline, com handle_unknown="ignore" para categorias raras ausentes em algum fold de treino.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Padronização: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10 atributos numéricos foram padronizados com StandardScaler (média 0, desvio-padrão 1). A EDA mostrou escalas muito diferentes e forte assimetria à direita (ex.: ProductRelated_Duration com mediana de ~599 s e máximo de ~63.974 s; PageValues igual a zero em mais de 75% das sessões). A padronização é necessária para modelos baseados em distância (kNN) e em otimização (Regressão Logística), e para o próprio SMOTENC, que usa vizinhos mais próximos.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Desbalanceamento de classes: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tratado com SMOTENC, variante do SMOTE para dados mistos, que balanceia o conjunto de treino em 1:1. Diferentemente do SMOTE, ele interpola apenas os atributos numéricos e atribui aos categóricos a categoria mais frequente entre os vizinhos, evitando amostras sintéticas impossíveis (ex.: uma sessão "37% em novembro"). O mesmo tratamento é aplicado a todos os algoritmos, mantendo a comparação justa.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Outras decisões que afetam a comparação: </w:t>
      </w: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todas as etapas são encadeadas em um único pipeline (StandardScaler → SMOTENC → One-Hot Encoding → modelo), ajustado apenas no fold de treino de cada iteração da validação cruzada. Assim, as estatísticas de padronização, as categorias e as amostras sintéticas nunca utilizam dados de teste, evitando data leakage; o fold de teste mantém a distribuição original das classes.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3. Protocolo de avaliação</w:t>
      </w:r>
    </w:p>
    <w:p w:rsidR="00000000" w:rsidDel="00000000" w:rsidP="00000000" w:rsidRDefault="00000000" w:rsidRPr="00000000" w14:paraId="0000001F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Tarefa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Classificação binária (Revenue: compra = 1 / não compra = 0).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 principal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ROC-AUC. O dataset é desbalanceado (84,5% / 15,5%), o que torna a accuracy enganosa; a ROC-AUC independe do limiar de decisão e mede a capacidade de ordenar sessões com compra acima das sem compra, o que é útil para priorizar visitantes por propensão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Métricas avaliadas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ROC-AUC, F1-macro, Accuracy, Precision e Recall (classe positiva = compra).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Particionamento dos dados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Validação cruzada estratificada com 10 folds: em cada iteração, 90% dos dados (~11.097 sessões) para treino e 10% (~1.233) para teste, preservando a proporção de classes em cada fold. Não há conjunto holdout separado nesta etapa.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 de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RepeatedStratifiedKFold: 10 folds × 10 repetições, com embaralhamentos diferentes = 100 avaliações por algoritmo. Semente fixa (random_state = 42), garantindo as mesmas divisões para todos os algoritmos.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Tratamento do desbalanceamento de classes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SMOTENC aplicado somente ao fold de treino, balanceando as classes em 1:1. O fold de teste mantém a distribuição original.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Critério de comparação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Média e desvio-padrão da ROC-AUC nas 100 avaliações (critério principal) e sua distribuição em box plot. As demais métricas apoiam a comparação de modelos com ROC-AUC próximas e a análise do equilíbrio entre precision e recall.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Estratégias contra data leakage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Todo o pré-processamento (padronização, SMOTENC e One-Hot Encoding) é encapsulado em um pipeline (imbalanced-learn) ajustado apenas no fold de treino de cada iteração; nenhuma estatística, categoria ou amostra sintética é derivada dos dados de teste.</w:t>
            </w:r>
          </w:p>
        </w:tc>
      </w:tr>
    </w:tbl>
    <w:p w:rsidR="00000000" w:rsidDel="00000000" w:rsidP="00000000" w:rsidRDefault="00000000" w:rsidRPr="00000000" w14:paraId="00000030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Observações: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reexecução completa do experimento reproduziu exatamente os mesmos valores, confirmando a reprodutibilidade. O paralelismo foi limitado a 4 processos (n_jobs = 4) por restrição de memória, sem efeito sobre os resultados.</w:t>
      </w:r>
    </w:p>
    <w:p w:rsidR="00000000" w:rsidDel="00000000" w:rsidP="00000000" w:rsidRDefault="00000000" w:rsidRPr="00000000" w14:paraId="00000031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4. Execução do Spot-Checking</w:t>
      </w:r>
    </w:p>
    <w:p w:rsidR="00000000" w:rsidDel="00000000" w:rsidP="00000000" w:rsidRDefault="00000000" w:rsidRPr="00000000" w14:paraId="00000032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Configuração utilizada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Motivo da inclusão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Observações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Regressão Logística</w:t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max_iter = 1000; demais padrão (penalidade L2, C = 1, solver lbfgs).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Modelo linear e paramétrico, baseado em otimização; baseline interpretável.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Requer padronização; sensível a atributos redundantes (ex.: BounceRates × ExitRates).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Árvore de Decisão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Padrão (critério Gini, sem limite de profundidade).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Representação simbólica (regras), não linear e não paramétrica.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Tende a sobreajustar; folhas puras geram probabilidades 0/1.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Árvore de Decisão (max_depth = 10)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max_depth = 10; demais padrão.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Variação mínima: pré-poda leve para avaliar o efeito do sobreajuste.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Comparação direta com a árvore sem poda.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k-Nearest Neighbors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 = 5, distância euclidiana, pesos uniformes.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Baseado em instâncias (aprendizado preguiçoso), não paramétrico.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Sensível à escala e à alta dimensionalidade (75 colunas após One-Hot).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Naive Bayes (Gaussiano)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Padrão.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Probabilístico e generativo; supõe independência condicional entre atributos.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Supõe atributos com distribuição normal, inadequado às colunas binárias do One-Hot.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Random Forest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n_estimators = 100; demais padrão.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Ensemble por bagging de árvores; reduz a variância.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Robusto a escalas, assimetria e outliers.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Gradient Boosting</w:t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n_estimators = 100; learning_rate = 0,1; max_depth = 3 (padrão).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Ensemble por boosting; reduz o viés de forma sequencial.</w:t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Treino sequencial, mais lento; costuma se destacar em dados tabulares.</w:t>
            </w:r>
          </w:p>
        </w:tc>
      </w:tr>
    </w:tbl>
    <w:p w:rsidR="00000000" w:rsidDel="00000000" w:rsidP="00000000" w:rsidRDefault="00000000" w:rsidRPr="00000000" w14:paraId="00000053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18"/>
          <w:szCs w:val="18"/>
          <w:rtl w:val="0"/>
        </w:rPr>
        <w:t xml:space="preserve">Todos os modelos usam random_state = 42 (quando aplicável) e o mesmo pipeline StandardScaler → SMOTENC → One-Hot Encoding → modelo. O código completo está no notebook.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 Resultados</w:t>
      </w:r>
    </w:p>
    <w:p w:rsidR="00000000" w:rsidDel="00000000" w:rsidP="00000000" w:rsidRDefault="00000000" w:rsidRPr="00000000" w14:paraId="00000056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5.1 Tabela comparativa</w:t>
      </w:r>
    </w:p>
    <w:tbl>
      <w:tblPr>
        <w:tblStyle w:val="Table4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46"/>
        <w:gridCol w:w="1460"/>
        <w:gridCol w:w="1460"/>
        <w:gridCol w:w="1460"/>
        <w:gridCol w:w="1460"/>
        <w:gridCol w:w="1460"/>
        <w:tblGridChange w:id="0">
          <w:tblGrid>
            <w:gridCol w:w="2446"/>
            <w:gridCol w:w="1460"/>
            <w:gridCol w:w="1460"/>
            <w:gridCol w:w="1460"/>
            <w:gridCol w:w="1460"/>
            <w:gridCol w:w="1460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7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8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ROC-AUC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9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F1-Macro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B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C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Recall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1. Gradient Boosting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0,9265 ± 0,0094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0,7979 ± 0,0138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0,8809 ± 0,0091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0,5878 ± 0,0244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0,7754 ± 0,0302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3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2. Random Forest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0,9215 ± 0,0104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0,8025 ± 0,0144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0,8895 ± 0,0085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0,6225 ± 0,0258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0,7295 ± 0,0319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3. Regressão Logística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0,8773 ± 0,0148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0,7451 ± 0,0148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0,8432 ± 0,0105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0,4961 ± 0,0232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0,7200 ± 0,0325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4. Árvore (max_depth = 10)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0,8501 ± 0,0187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0,7675 ± 0,0152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0,8603 ± 0,0105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0,5360 ± 0,0255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0,7378 ± 0,0326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5. kNN (k = 5)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0,8165 ± 0,0150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0,6784 ± 0,0117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0,7787 ± 0,0101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0,3843 ± 0,0151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0,7118 ± 0,0305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B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6. Árvore de Decisão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0,7666 ± 0,0189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0,7388 ± 0,0159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0,8486 ± 0,0099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0,5089 ± 0,0253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0,6478 ± 0,0369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7. Naive Bayes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0,6194 ± 0,0199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0,3349 ± 0,0198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0,3371 ± 0,0216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0,1793 ± 0,0053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0,9169 ± 0,0203</w:t>
            </w:r>
          </w:p>
        </w:tc>
      </w:tr>
    </w:tbl>
    <w:p w:rsidR="00000000" w:rsidDel="00000000" w:rsidP="00000000" w:rsidRDefault="00000000" w:rsidRPr="00000000" w14:paraId="00000087">
      <w:pPr>
        <w:spacing w:after="200" w:lineRule="auto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Tabela 1 –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Média ± desvio-padrão em 100 avaliações (10 folds × 10 repetições), ordenado pela ROC-AUC (métrica principal). Em negrito, os três modelos selecionados.</w:t>
      </w:r>
    </w:p>
    <w:p w:rsidR="00000000" w:rsidDel="00000000" w:rsidP="00000000" w:rsidRDefault="00000000" w:rsidRPr="00000000" w14:paraId="00000088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5.2 Gráfico comparativo</w:t>
      </w:r>
    </w:p>
    <w:p w:rsidR="00000000" w:rsidDel="00000000" w:rsidP="00000000" w:rsidRDefault="00000000" w:rsidRPr="00000000" w14:paraId="0000008A">
      <w:pPr>
        <w:keepNext w:val="1"/>
        <w:spacing w:after="6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6035040" cy="2586445"/>
            <wp:effectExtent b="0" l="0" r="0" t="0"/>
            <wp:docPr descr="Box plot da distribuição da ROC-AUC por algoritmo nas 100 avaliações" id="1" name="image1.png"/>
            <a:graphic>
              <a:graphicData uri="http://schemas.openxmlformats.org/drawingml/2006/picture">
                <pic:pic>
                  <pic:nvPicPr>
                    <pic:cNvPr descr="Box plot da distribuição da ROC-AUC por algoritmo nas 100 avaliações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864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00" w:lineRule="auto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Figura 1 –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Distribuição da ROC-AUC por algoritmo nas 100 avaliações. GB e RF têm distribuições sobrepostas; a Regressão Logística vem em seguida, à frente das árvores individuais.</w:t>
      </w:r>
    </w:p>
    <w:p w:rsidR="00000000" w:rsidDel="00000000" w:rsidP="00000000" w:rsidRDefault="00000000" w:rsidRPr="00000000" w14:paraId="0000008C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6. Interpretação dos resultados</w:t>
      </w:r>
    </w:p>
    <w:p w:rsidR="00000000" w:rsidDel="00000000" w:rsidP="00000000" w:rsidRDefault="00000000" w:rsidRPr="00000000" w14:paraId="0000008D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modelos apresentaram resultados mais promissores segundo o protocolo definido?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Gradient Boosting (ROC-AUC 0,927 ± 0,009) e Random Forest (0,922 ± 0,010) foram os mais promissores, com desempenho equivalente: a diferença (~0,005) é de cerca de meio desvio-padrão e as distribuições se sobrepõem no box plot. Ambos também lideram em F1-macro (0,798 e 0,803). A Regressão Logística (0,877) é o melhor modelo linear e ficou em terceiro.</w:t>
      </w:r>
    </w:p>
    <w:p w:rsidR="00000000" w:rsidDel="00000000" w:rsidP="00000000" w:rsidRDefault="00000000" w:rsidRPr="00000000" w14:paraId="00000090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padrões, diferenças ou comportamentos relevantes foram observados entre os modelos?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ensembles superam claramente as árvores individuais: a árvore sem poda tem ROC-AUC de 0,767 porque gera folhas puras (probabilidades 0/1), e limitar a profundidade a 10 eleva o valor para 0,850, evidenciando o sobreajuste. O Naive Bayes colapsou (0,619; recall 0,92 e precision 0,18), pois o GaussianNB supõe atributos normais e 65 das 75 colunas são binárias (One-Hot). O kNN (0,817) é prejudicado pela alta dimensionalidade. Com o treino balanceado pelo SMOTENC, os modelos favorecem o recall em detrimento da precision, e vários ficam com accuracy abaixo do baseline de 84,5% (prever sempre "não compra"), o que confirma que a accuracy não é adequada como critério principal.</w:t>
      </w:r>
    </w:p>
    <w:p w:rsidR="00000000" w:rsidDel="00000000" w:rsidP="00000000" w:rsidRDefault="00000000" w:rsidRPr="00000000" w14:paraId="00000093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que os resultados sugerem sobre o problema e/ou sobre os dados?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problema tem relações não lineares e interações entre atributos, melhor capturadas por ensembles de árvores, que também são robustos à forte assimetria e às escalas distintas das variáveis. O desempenho depende muito de PageValues (correlação 0,49 com o alvo; taxa de compra de 56% quando PageValues &gt; 0 contra 4% quando = 0). Como esse atributo é calculado a partir de páginas visitadas antes de transações, pode carregar informação próxima do próprio alvo, um possível vazamento a investigar no T2. A representação dos dados (One-Hot de categorias com níveis raros) afeta mais os modelos sensíveis a ela (NB, kNN e LR) do que as árvores.</w:t>
      </w:r>
    </w:p>
    <w:p w:rsidR="00000000" w:rsidDel="00000000" w:rsidP="00000000" w:rsidRDefault="00000000" w:rsidRPr="00000000" w14:paraId="00000096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7. Seleção dos modelos para o T2</w:t>
      </w:r>
    </w:p>
    <w:p w:rsidR="00000000" w:rsidDel="00000000" w:rsidP="00000000" w:rsidRDefault="00000000" w:rsidRPr="00000000" w14:paraId="0000009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Modelos selecionados: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Gradient Boosting, Random Forest e Regressão Logística.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Gradient Boosting e Random Forest: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obtiveram as maiores ROC-AUC, com desempenho equivalente e baixa variância entre folds. Por serem ensembles com estratégias distintas (boosting e bagging), têm hiperparâmetros com grande potencial de ganho no T2: número de árvores, profundidade, taxa de aprendizado e mínimo de amostras por folha.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Regressão Logística: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terceira melhor ROC-AUC (0,877). A árvore com max_depth = 10 ficou próxima (0,850) e com F1-macro maior, mas a Regressão Logística foi preferida por trazer diversidade de viés indutivo (único modelo linear entre os melhores), coeficientes interpretáveis e margem de melhoria via regularização (C) e tratamento de atributos redundantes e categorias raras.</w:t>
      </w:r>
    </w:p>
    <w:p w:rsidR="00000000" w:rsidDel="00000000" w:rsidP="00000000" w:rsidRDefault="00000000" w:rsidRPr="00000000" w14:paraId="0000009B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Próximos passos no T2: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otimização de hiperparâmetros com validação cruzada aninhada, avaliação do impacto de PageValues (possível vazamento) e comparação do SMOTENC com class_weight = "balanced".</w:t>
      </w:r>
    </w:p>
    <w:p w:rsidR="00000000" w:rsidDel="00000000" w:rsidP="00000000" w:rsidRDefault="00000000" w:rsidRPr="00000000" w14:paraId="0000009C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Uso de IA Generativa</w:t>
      </w:r>
    </w:p>
    <w:p w:rsidR="00000000" w:rsidDel="00000000" w:rsidP="00000000" w:rsidRDefault="00000000" w:rsidRPr="00000000" w14:paraId="0000009D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grupo utilizou o assistente Claude (Anthropic), por meio do Claude Code, como apoio na revisão do código e da metodologia. Ele ajudou a identificar problemas como a ordem entre padronização e SMOTE, a codificação de atributos categóricos armazenados como inteiros e a incompatibilidade com o pandas 3, e sugeriu alternativas como o SMOTENC. Também foi usado na conversão do script para notebook e na redação de rascunhos deste relatório. Todas as sugestões foram revisadas, testadas e validadas pelo grupo, que compreende e é capaz de justificar as decisões e os resultados apresentados.</w:t>
      </w:r>
    </w:p>
    <w:p w:rsidR="00000000" w:rsidDel="00000000" w:rsidP="00000000" w:rsidRDefault="00000000" w:rsidRPr="00000000" w14:paraId="0000009E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qdcu51415ztl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Referências utilizadas</w:t>
      </w:r>
    </w:p>
    <w:p w:rsidR="00000000" w:rsidDel="00000000" w:rsidP="00000000" w:rsidRDefault="00000000" w:rsidRPr="00000000" w14:paraId="0000009F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CHAWLA, N. V. et al. SMOTE: Synthetic Minority Over-sampling Technique. Journal of Artificial Intelligence Research, v. 16, p. 321–357, 2002.</w:t>
      </w:r>
    </w:p>
    <w:p w:rsidR="00000000" w:rsidDel="00000000" w:rsidP="00000000" w:rsidRDefault="00000000" w:rsidRPr="00000000" w14:paraId="000000A0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FACELI, K. et al. Inteligência Artificial: uma abordagem de aprendizado de máquina. 2. ed. Rio de Janeiro: LTC, 2021.</w:t>
      </w:r>
    </w:p>
    <w:p w:rsidR="00000000" w:rsidDel="00000000" w:rsidP="00000000" w:rsidRDefault="00000000" w:rsidRPr="00000000" w14:paraId="000000A1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LEMAÎTRE, G.; NOGUEIRA, F.; ARIDAS, C. K. Imbalanced-learn: a Python toolbox to tackle the curse of imbalanced datasets in machine learning. Journal of Machine Learning Research, v. 18, n. 17, p. 1–5, 2017.</w:t>
      </w:r>
    </w:p>
    <w:p w:rsidR="00000000" w:rsidDel="00000000" w:rsidP="00000000" w:rsidRDefault="00000000" w:rsidRPr="00000000" w14:paraId="000000A2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PEDREGOSA, F. et al. Scikit-learn: Machine Learning in Python. Journal of Machine Learning Research, v. 12, p. 2825–2830, 2011.</w:t>
      </w:r>
    </w:p>
    <w:p w:rsidR="00000000" w:rsidDel="00000000" w:rsidP="00000000" w:rsidRDefault="00000000" w:rsidRPr="00000000" w14:paraId="000000A3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SAKAR, C. O. et al. Real-time prediction of online shoppers’ purchasing intention using multilayer perceptron and LSTM recurrent neural networks. Neural Computing and Applications, v. 31, p. 6893–6908, 2019.</w:t>
      </w:r>
    </w:p>
    <w:p w:rsidR="00000000" w:rsidDel="00000000" w:rsidP="00000000" w:rsidRDefault="00000000" w:rsidRPr="00000000" w14:paraId="000000A4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SAKAR, C. O.; KASTRO, Y. Online Shoppers Purchasing Intention Dataset. UCI Machine Learning Repository, 2018. Disponível em: https://archive.ics.uci.edu/dataset/468/online+shoppers+purchasing+intention+dataset.</w:t>
      </w:r>
    </w:p>
    <w:p w:rsidR="00000000" w:rsidDel="00000000" w:rsidP="00000000" w:rsidRDefault="00000000" w:rsidRPr="00000000" w14:paraId="000000A5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1134" w:top="1134" w:left="1247" w:right="12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rial Unicode MS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ptos" w:cs="Aptos" w:eastAsia="Aptos" w:hAnsi="Aptos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ptos" w:cs="Aptos" w:eastAsia="Aptos" w:hAnsi="Aptos"/>
      <w:b w:val="1"/>
      <w:bCs w:val="1"/>
      <w:color w:val="4f81bd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ptos" w:cs="Aptos" w:eastAsia="Aptos" w:hAnsi="Aptos"/>
      <w:color w:val="17365d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olab.research.google.com/drive/1i8FuPJb3bnl58bVjca0j37UbdzNpzrSi" TargetMode="Externa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