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288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Jean Smaniotto Argoud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00275602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João Pedro Klippel Brusch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00344001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Matheus Krzesinski da Silva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00594989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0D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hyperlink r:id="rId6">
        <w:r w:rsidDel="00000000" w:rsidR="00000000" w:rsidRPr="00000000">
          <w:rPr>
            <w:rFonts w:ascii="Arial" w:cs="Arial" w:eastAsia="Arial" w:hAnsi="Arial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Google Colab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1gb9cdi8emeg" w:id="0"/>
      <w:bookmarkEnd w:id="0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Previsão da intenção de compra em sessões de e-commerce: spot-checking de algoritmos de classificação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Online Shoppers Purchasing Intention Dataset (Sakar et al., 2019), disponível no UCI Machine Learning Repository (ID 468): https://archive.ics.uci.edu/dataset/468/online+shoppers+purchasing+intention+dataset. Cada instância é uma sessão de navegação em uma loja online, coletada ao longo de um ano, com métricas de páginas visitadas, tempo de permanência e indicadores do Google Analytics.</w: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Revenue (booleana), que indica se a sessão terminou em compra. O objetivo é desenvolver um modelo de classificação binária capaz de prever, a partir do comportamento de navegação e de informações contextuais da sessão (mês, tipo de visitante, origem do tráfego etc.), se o visitante irá realizar uma compra.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: 12.330 instâncias (sessões) e 17 atributos preditivos, todos utilizados: 10 numéricos (contagem e duração de páginas administrativas, informativas e de produto; BounceRates; ExitRates; PageValues; SpecialDay) e 7 categóricos (Month, VisitorType, Weekend, OperatingSystems, Browser, Region e TrafficType). Após o One-Hot Encoding, os modelos recebem 75 colunas. As classes são desbalanceadas: 10.422 sessões sem compra (84,5%) e 1.908 com compra (15,5%), razão de 5,46:1.</w:t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Atributos disponíveis e utilizados: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17 atributos foram mantidos. Nenhum se mostrou irrelevante ou problemático a ponto de justificar a remoção nesta etapa de spot-checking; a seleção de atributos fica para investigação posterior.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Valores ausentes e inconsistências: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dataset não possui valores faltantes. Foram encontradas 125 linhas duplicadas (1,01%), nenhuma com alvo conflitante. Elas foram mantidas, pois correspondem majoritariamente a sessões curtas legítimas (uma única página visitada, BounceRates = ExitRates = 0,2, sem compra), comportamento plausível de visitantes reais; removê-las alteraria a distribuição real dos dados, e o risco de vazamento entre folds é desprezível.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Codificação das variáveis: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7 atributos categóricos são nominais e foram codificados com One-Hot Encoding. OperatingSystems, Browser, Region e TrafficType são armazenados como inteiros, mas representam códigos sem relação de ordem (ex.: Region = 9 não é "maior" que Region = 1); tratá-los como numéricos imporia uma ordem e uma distância artificiais. Weekend (booleano) também foi tratado como categórico. A codificação é feita dentro do pipeline, com handle_unknown="ignore" para categorias raras ausentes em algum fold de treino.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Padronização: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10 atributos numéricos foram padronizados com StandardScaler (média 0, desvio-padrão 1). A EDA mostrou escalas muito diferentes e forte assimetria à direita (ex.: ProductRelated_Duration com mediana de ~599 s e máximo de ~63.974 s; PageValues igual a zero em mais de 75% das sessões). A padronização é necessária para modelos baseados em distância (kNN) e em otimização (Regressão Logística), e para o próprio SMOTENC, que usa vizinhos mais próximos.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Desbalanceamento de classes: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tratado com SMOTENC, variante do SMOTE para dados mistos, que balanceia o conjunto de treino em 1:1. Diferentemente do SMOTE, ele interpola apenas os atributos numéricos e atribui aos categóricos a categoria mais frequente entre os vizinhos, evitando amostras sintéticas impossíveis (ex.: uma sessão "37% em novembro"). O mesmo tratamento é aplicado a todos os algoritmos, mantendo a comparação justa.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Outras decisões que afetam a comparação: </w:t>
      </w: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todas as etapas são encadeadas em um único pipeline (StandardScaler → SMOTENC → One-Hot Encoding → modelo), ajustado apenas no fold de treino de cada iteração da validação cruzada. Assim, as estatísticas de padronização, as categorias e as amostras sintéticas nunca utilizam dados de teste, evitando data leakage; o fold de teste mantém a distribuição original das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1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Classificação binária (Revenue: compra = 1 / não compra = 0).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ROC-AUC. O dataset é desbalanceado (84,5% / 15,5%), o que torna a accuracy enganosa; a ROC-AUC independe do limiar de decisão e mede a capacidade de ordenar sessões com compra acima das sem compra, o que é útil para priorizar visitantes por propensão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ROC-AUC, F1-macro, Accuracy, Precision e Recall (classe positiva = compra).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Validação cruzada estratificada com 10 folds: em cada iteração, 90% dos dados (~11.097 sessões) para treino e 10% (~1.233) para teste, preservando a proporção de classes em cada fold. Não há conjunto holdout separado nesta etapa.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RepeatedStratifiedKFold: 10 folds × 10 repetições, com embaralhamentos diferentes = 100 avaliações por algoritmo. Semente fixa (random_state = 42), garantindo as mesmas divisões para todos os algoritmos.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SMOTENC aplicado somente ao fold de treino, balanceando as classes em 1:1. O fold de teste mantém a distribuição original.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Média e desvio-padrão da ROC-AUC nas 100 avaliações (critério principal) e sua distribuição em box plot. As demais métricas apoiam a comparação de modelos com ROC-AUC próximas e a análise do equilíbrio entre precision e recall.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Todo o pré-processamento (padronização, SMOTENC e One-Hot Encoding) é encapsulado em um pipeline (imbalanced-learn) ajustado apenas no fold de treino de cada iteração; nenhuma estatística, categoria ou amostra sintética é derivada dos dados de teste.</w:t>
            </w:r>
          </w:p>
        </w:tc>
      </w:tr>
    </w:tbl>
    <w:p w:rsidR="00000000" w:rsidDel="00000000" w:rsidP="00000000" w:rsidRDefault="00000000" w:rsidRPr="00000000" w14:paraId="00000030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Observações: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reexecução completa do experimento reproduziu exatamente os mesmos valores, confirmando a reprodutibilidade. O paralelismo foi limitado a 4 processos (n_jobs = 4) por restrição de memória, sem efeito sobre os resultados.</w:t>
      </w:r>
    </w:p>
    <w:p w:rsidR="00000000" w:rsidDel="00000000" w:rsidP="00000000" w:rsidRDefault="00000000" w:rsidRPr="00000000" w14:paraId="00000031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Regressão Logística</w:t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max_iter = 1000; demais padrão (penalidade L2, C = 1, solver lbfgs).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Modelo linear e paramétrico, baseado em otimização; baseline interpretável.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Requer padronização; sensível a atributos redundantes (ex.: BounceRates × ExitRates).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 (critério Gini, sem limite de profundidade).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Representação simbólica (regras), não linear e não paramétrica.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Tende a sobreajustar; folhas puras geram probabilidades 0/1.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Árvore de Decisão (max_depth = 10)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max_depth = 10; demais padrão.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Variação mínima: pré-poda leve para avaliar o efeito do sobreajuste.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Comparação direta com a árvore sem poda.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k-Nearest Neighbors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 = 5, distância euclidiana, pesos uniformes.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Baseado em instâncias (aprendizado preguiçoso), não paramétrico.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Sensível à escala e à alta dimensionalidade (75 colunas após One-Hot).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Naive Bayes (Gaussiano)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Padrão.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Probabilístico e generativo; supõe independência condicional entre atributos.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Supõe atributos com distribuição normal, inadequado às colunas binárias do One-Hot.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Random Forest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demais padrão.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bagging de árvores; reduz a variância.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Robusto a escalas, assimetria e outliers.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Gradient Boosting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n_estimators = 100; learning_rate = 0,1; max_depth = 3 (padrão).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Ensemble por boosting; reduz o viés de forma sequencial.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Treino sequencial, mais lento; costuma se destacar em dados tabulares.</w:t>
            </w:r>
          </w:p>
        </w:tc>
      </w:tr>
    </w:tbl>
    <w:p w:rsidR="00000000" w:rsidDel="00000000" w:rsidP="00000000" w:rsidRDefault="00000000" w:rsidRPr="00000000" w14:paraId="0000005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18"/>
          <w:szCs w:val="18"/>
          <w:rtl w:val="0"/>
        </w:rPr>
        <w:t xml:space="preserve">Todos os modelos usam random_state = 42 (quando aplicável) e o mesmo pipeline StandardScaler → SMOTENC → One-Hot Encoding → modelo. O código completo está no notebook.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56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tbl>
      <w:tblPr>
        <w:tblStyle w:val="Table4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46"/>
        <w:gridCol w:w="1460"/>
        <w:gridCol w:w="1460"/>
        <w:gridCol w:w="1460"/>
        <w:gridCol w:w="1460"/>
        <w:gridCol w:w="1460"/>
        <w:tblGridChange w:id="0">
          <w:tblGrid>
            <w:gridCol w:w="2446"/>
            <w:gridCol w:w="1460"/>
            <w:gridCol w:w="1460"/>
            <w:gridCol w:w="1460"/>
            <w:gridCol w:w="1460"/>
            <w:gridCol w:w="1460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ROC-AUC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F1-Macro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Recall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1. Gradient Boosting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0,9265 ± 0,0094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0,7979 ± 0,0138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0,8809 ± 0,0091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0,5878 ± 0,0244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0,7754 ± 0,0302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2. Random Forest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0,9215 ± 0,0104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0,8025 ± 0,0144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0,8895 ± 0,0085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0,6225 ± 0,0258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0,7295 ± 0,0319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3. Regressão Logística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0,8773 ± 0,0148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0,7451 ± 0,0148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0,8432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0,4961 ± 0,0232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0,7200 ± 0,0325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 Árvore (max_depth = 10)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0,8501 ± 0,0187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0,7675 ± 0,0152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0,8603 ± 0,0105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0,5360 ± 0,0255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0,7378 ± 0,0326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5. kNN (k = 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0,8165 ± 0,0150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0,6784 ± 0,0117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0,7787 ± 0,0101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0,3843 ± 0,0151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0,7118 ± 0,0305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6. Árvore de Decisão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0,7666 ± 0,0189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0,7388 ± 0,0159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0,8486 ± 0,0099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0,5089 ± 0,0253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0,6478 ± 0,0369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7. Naive Bayes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0,6194 ± 0,0199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0,3349 ± 0,0198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0,3371 ± 0,0216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0,1793 ± 0,0053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0,9169 ± 0,0203</w:t>
            </w:r>
          </w:p>
        </w:tc>
      </w:tr>
    </w:tbl>
    <w:p w:rsidR="00000000" w:rsidDel="00000000" w:rsidP="00000000" w:rsidRDefault="00000000" w:rsidRPr="00000000" w14:paraId="00000087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Tabela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Média ± desvio-padrão em 100 avaliações (10 folds × 10 repetições), ordenado pela ROC-AUC (métrica principal). Em negrito, os três modelos selecionados.</w:t>
      </w:r>
    </w:p>
    <w:p w:rsidR="00000000" w:rsidDel="00000000" w:rsidP="00000000" w:rsidRDefault="00000000" w:rsidRPr="00000000" w14:paraId="00000088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5.2 Gráfico comparativo</w:t>
      </w:r>
    </w:p>
    <w:p w:rsidR="00000000" w:rsidDel="00000000" w:rsidP="00000000" w:rsidRDefault="00000000" w:rsidRPr="00000000" w14:paraId="0000008A">
      <w:pPr>
        <w:keepNext w:val="1"/>
        <w:spacing w:after="6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035040" cy="2586445"/>
            <wp:effectExtent b="0" l="0" r="0" t="0"/>
            <wp:docPr descr="Box plot da distribuição da ROC-AUC por algoritmo nas 100 avaliações" id="1" name="image1.png"/>
            <a:graphic>
              <a:graphicData uri="http://schemas.openxmlformats.org/drawingml/2006/picture">
                <pic:pic>
                  <pic:nvPicPr>
                    <pic:cNvPr descr="Box plot da distribuição da ROC-AUC por algoritmo nas 100 avaliações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864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00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Figura 1 –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Distribuição da ROC-AUC por algoritmo nas 100 avaliações. GB e RF têm distribuições sobrepostas; a Regressão Logística vem em seguida, à frente das árvores individuais.</w:t>
      </w:r>
    </w:p>
    <w:p w:rsidR="00000000" w:rsidDel="00000000" w:rsidP="00000000" w:rsidRDefault="00000000" w:rsidRPr="00000000" w14:paraId="0000008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8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 (ROC-AUC 0,927 ± 0,009) e Random Forest (0,922 ± 0,010) foram os mais promissores, com desempenho equivalente: a diferença (~0,005) é de cerca de meio desvio-padrão e as distribuições se sobrepõem no box plot. Ambos também lideram em F1-macro (0,798 e 0,803). A Regressão Logística (0,877) é o melhor modelo linear e ficou em terceiro.</w:t>
      </w:r>
    </w:p>
    <w:p w:rsidR="00000000" w:rsidDel="00000000" w:rsidP="00000000" w:rsidRDefault="00000000" w:rsidRPr="00000000" w14:paraId="0000009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ensembles superam claramente as árvores individuais: a árvore sem poda tem ROC-AUC de 0,767 porque gera folhas puras (probabilidades 0/1), e limitar a profundidade a 10 eleva o valor para 0,850, evidenciando o sobreajuste. O Naive Bayes colapsou (0,619; recall 0,92 e precision 0,18), pois o GaussianNB supõe atributos normais e 65 das 75 colunas são binárias (One-Hot). O kNN (0,817) é prejudicado pela alta dimensionalidade. Com o treino balanceado pelo SMOTENC, os modelos favorecem o recall em detrimento da precision, e vários ficam com accuracy abaixo do baseline de 84,5% (prever sempre "não compra"), o que confirma que a accuracy não é adequada como critério principal.</w:t>
      </w:r>
    </w:p>
    <w:p w:rsidR="00000000" w:rsidDel="00000000" w:rsidP="00000000" w:rsidRDefault="00000000" w:rsidRPr="00000000" w14:paraId="0000009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problema tem relações não lineares e interações entre atributos, melhor capturadas por ensembles de árvores, que também são robustos à forte assimetria e às escalas distintas das variáveis. O desempenho depende muito de PageValues (correlação 0,49 com o alvo; taxa de compra de 56% quando PageValues &gt; 0 contra 4% quando = 0). Como esse atributo é calculado a partir de páginas visitadas antes de transações, pode carregar informação próxima do próprio alvo, um possível vazamento a investigar no T2. A representação dos dados (One-Hot de categorias com níveis raros) afeta mais os modelos sensíveis a ela (NB, kNN e LR) do que as árvores.</w:t>
      </w:r>
    </w:p>
    <w:p w:rsidR="00000000" w:rsidDel="00000000" w:rsidP="00000000" w:rsidRDefault="00000000" w:rsidRPr="00000000" w14:paraId="00000096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9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Modelos selecionados: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Gradient Boosting, Random Forest e Regressão Logística.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Gradient Boosting e Random Forest: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obtiveram as maiores ROC-AUC, com desempenho equivalente e baixa variância entre folds. Por serem ensembles com estratégias distintas (boosting e bagging), têm hiperparâmetros com grande potencial de ganho no T2: número de árvores, profundidade, taxa de aprendizado e mínimo de amostras por folha.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Regressão Logística: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terceira melhor ROC-AUC (0,877). A árvore com max_depth = 10 ficou próxima (0,850) e com F1-macro maior, mas a Regressão Logística foi preferida por trazer diversidade de viés indutivo (único modelo linear entre os melhores), coeficientes interpretáveis e margem de melhoria via regularização (C) e tratamento de atributos redundantes e categorias raras.</w:t>
      </w:r>
    </w:p>
    <w:p w:rsidR="00000000" w:rsidDel="00000000" w:rsidP="00000000" w:rsidRDefault="00000000" w:rsidRPr="00000000" w14:paraId="0000009B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Próximos passos no T2: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otimização de hiperparâmetros com validação cruzada aninhada, avaliação do impacto de PageValues (possível vazamento) e comparação do SMOTENC com class_weight = "balanced".</w:t>
      </w:r>
    </w:p>
    <w:p w:rsidR="00000000" w:rsidDel="00000000" w:rsidP="00000000" w:rsidRDefault="00000000" w:rsidRPr="00000000" w14:paraId="0000009C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9D">
      <w:pPr>
        <w:spacing w:after="200" w:lineRule="auto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grupo utilizou o assistente Claude (Anthropic), por meio do Claude Code, como apoio na escrita e revisão do código e da metodologia. Ele ajudou a identificar problemas como a ordem entre padronização e SMOTE, a codificação de atributos categóricos armazenados como inteiros e a incompatibilidade com o pandas 3, e sugeriu alternativas como o SMOTENC. Também foi usado na conversão do script para notebook e na redação de rascunhos deste relatório. Todas as sugestões foram revisadas, testadas e validadas pelo grupo, que compreende e é capaz de justificar as decisões e os resultados apresentados.</w:t>
      </w:r>
    </w:p>
    <w:p w:rsidR="00000000" w:rsidDel="00000000" w:rsidP="00000000" w:rsidRDefault="00000000" w:rsidRPr="00000000" w14:paraId="0000009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xnqs5q4h5nj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9F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CHAWLA, N. V. et al. SMOTE: Synthetic Minority Over-sampling Technique. Journal of Artificial Intelligence Research, v. 16, p. 321–357, 2002.</w:t>
      </w:r>
    </w:p>
    <w:p w:rsidR="00000000" w:rsidDel="00000000" w:rsidP="00000000" w:rsidRDefault="00000000" w:rsidRPr="00000000" w14:paraId="000000A0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FACELI, K. et al. Inteligência Artificial: uma abordagem de aprendizado de máquina. 2. ed. Rio de Janeiro: LTC, 2021.</w:t>
      </w:r>
    </w:p>
    <w:p w:rsidR="00000000" w:rsidDel="00000000" w:rsidP="00000000" w:rsidRDefault="00000000" w:rsidRPr="00000000" w14:paraId="000000A1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LEMAÎTRE, G.; NOGUEIRA, F.; ARIDAS, C. K. Imbalanced-learn: a Python toolbox to tackle the curse of imbalanced datasets in machine learning. Journal of Machine Learning Research, v. 18, n. 17, p. 1–5, 2017.</w:t>
      </w:r>
    </w:p>
    <w:p w:rsidR="00000000" w:rsidDel="00000000" w:rsidP="00000000" w:rsidRDefault="00000000" w:rsidRPr="00000000" w14:paraId="000000A2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PEDREGOSA, F. et al. Scikit-learn: Machine Learning in Python. Journal of Machine Learning Research, v. 12, p. 2825–2830, 2011.</w:t>
      </w:r>
    </w:p>
    <w:p w:rsidR="00000000" w:rsidDel="00000000" w:rsidP="00000000" w:rsidRDefault="00000000" w:rsidRPr="00000000" w14:paraId="000000A3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 et al. Real-time prediction of online shoppers’ purchasing intention using multilayer perceptron and LSTM recurrent neural networks. Neural Computing and Applications, v. 31, p. 6893–6908, 2019.</w:t>
      </w:r>
    </w:p>
    <w:p w:rsidR="00000000" w:rsidDel="00000000" w:rsidP="00000000" w:rsidRDefault="00000000" w:rsidRPr="00000000" w14:paraId="000000A4">
      <w:pPr>
        <w:spacing w:after="10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SAKAR, C. O.; KASTRO, Y. Online Shoppers Purchasing Intention Dataset. UCI Machine Learning Repository, 2018. Disponível em: https://archive.ics.uci.edu/dataset/468/online+shoppers+purchasing+intention+dataset.</w:t>
      </w:r>
    </w:p>
    <w:p w:rsidR="00000000" w:rsidDel="00000000" w:rsidP="00000000" w:rsidRDefault="00000000" w:rsidRPr="00000000" w14:paraId="000000A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lab.research.google.com/drive/1i8FuPJb3bnl58bVjca0j37UbdzNpzrSi" TargetMode="External"/><Relationship Id="rId7" Type="http://schemas.openxmlformats.org/officeDocument/2006/relationships/image" Target="media/image1.pn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