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dcapa"/>
        <w:rPr>
          <w:b/>
          <w:bCs/>
        </w:rPr>
      </w:pPr>
      <w:r>
        <w:rPr>
          <w:b/>
          <w:bCs/>
        </w:rPr>
        <w:t>UNIVERSIDADE VIRTUAL DO ESTADO DE SÃO PAULO</w:t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  <w:t>Jean Carlo Bego Jacintho</w:t>
      </w:r>
    </w:p>
    <w:p>
      <w:pPr>
        <w:pStyle w:val="dcapa"/>
        <w:rPr>
          <w:lang w:val="en-AU"/>
        </w:rPr>
      </w:pPr>
      <w:r>
        <w:rPr>
          <w:lang w:val="en-AU"/>
        </w:rPr>
        <w:t>Jessica Ribeiro</w:t>
      </w:r>
    </w:p>
    <w:p>
      <w:pPr>
        <w:pStyle w:val="dcapa"/>
        <w:rPr>
          <w:lang w:val="en-AU"/>
        </w:rPr>
      </w:pPr>
      <w:r>
        <w:rPr>
          <w:lang w:val="en-AU"/>
        </w:rPr>
        <w:t>Vander Luis Borges de Oliveira</w:t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b/>
          <w:bCs/>
        </w:rPr>
      </w:pPr>
      <w:r>
        <w:rPr>
          <w:b/>
          <w:bCs/>
        </w:rPr>
        <w:t>Análise comparativa de desempenho entre diferentes algoritmos de Machine Learning no conjunto de dados Credit Card Fraud Detection - Kaggle</w:t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/>
      </w:pPr>
      <w:r>
        <w:rPr/>
        <w:t>São Paulo - SP</w:t>
      </w:r>
    </w:p>
    <w:p>
      <w:pPr>
        <w:pStyle w:val="dcapa"/>
        <w:rPr/>
      </w:pPr>
      <w:r>
        <w:rPr/>
        <w:t>2026</w:t>
      </w:r>
    </w:p>
    <w:p>
      <w:pPr>
        <w:pStyle w:val="dcapa"/>
        <w:rPr>
          <w:b/>
          <w:bCs/>
        </w:rPr>
      </w:pPr>
      <w:r>
        <w:rPr>
          <w:b/>
          <w:bCs/>
        </w:rPr>
        <w:t>UNIVERSIDADE VIRTUAL DO ESTADO DE SÃO PAULO</w:t>
      </w:r>
    </w:p>
    <w:p>
      <w:pPr>
        <w:pStyle w:val="dcapa"/>
        <w:rPr/>
      </w:pPr>
      <w:r>
        <w:rPr/>
      </w:r>
    </w:p>
    <w:p>
      <w:pPr>
        <w:pStyle w:val="dcapa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>
          <w:b/>
          <w:bCs/>
        </w:rPr>
      </w:pPr>
      <w:r>
        <w:rPr>
          <w:b/>
          <w:bCs/>
          <w:color w:val="000000"/>
        </w:rPr>
        <w:t>Análise comparativa de desempenho entre diferentes algoritmos de Machine Learning no conjunto de dados Credit Card Fraud Detection - Kaggle</w:t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ecapadescrio"/>
        <w:rPr/>
      </w:pPr>
      <w:r>
        <w:rPr/>
        <w:t xml:space="preserve">Relatório Técnico-Científico apresentado na disciplina de Projeto Integrador para o curso de Ciência de dados da Universidade Virtual do Estado de São Paulo (UNIVESP). </w:t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  <w:t>São Paulo - SP</w:t>
      </w:r>
    </w:p>
    <w:p>
      <w:pPr>
        <w:pStyle w:val="dcapa"/>
        <w:rPr/>
      </w:pPr>
      <w:r>
        <w:rPr/>
        <w:t>2026</w:t>
      </w:r>
    </w:p>
    <w:p>
      <w:pPr>
        <w:pStyle w:val="Normal"/>
        <w:spacing w:lineRule="auto" w:line="259" w:before="0" w:after="160"/>
        <w:rPr/>
      </w:pPr>
      <w:r>
        <w:rPr/>
      </w:r>
      <w:r>
        <w:br w:type="page"/>
      </w:r>
    </w:p>
    <w:p>
      <w:pPr>
        <w:pStyle w:val="atexto-base"/>
        <w:spacing w:before="0" w:after="360"/>
        <w:rPr>
          <w:b/>
        </w:rPr>
      </w:pPr>
      <w:r>
        <w:rPr/>
        <w:t>Carlo Bego Jacintho, Jean; Ribeiro, Jessica; Luis Borges de Olveira, Vander. A</w:t>
      </w:r>
      <w:r>
        <w:rPr>
          <w:b/>
          <w:bCs/>
        </w:rPr>
        <w:t>nálise comparativa de desempenho entre diferentes algoritmos de Machine Learning no conjunto de dados Credit Card Fraud Detection - Kaggle</w:t>
      </w:r>
      <w:r>
        <w:rPr>
          <w:b/>
        </w:rPr>
        <w:t xml:space="preserve">. </w:t>
      </w:r>
      <w:r>
        <w:rPr/>
        <w:t xml:space="preserve">Relatório Técnico-Científico. Ciência de Dados,  Engenharia da computação – </w:t>
      </w:r>
      <w:r>
        <w:rPr>
          <w:b/>
        </w:rPr>
        <w:t>Universidade Virtual do Estado de São Paulo</w:t>
      </w:r>
      <w:r>
        <w:rPr/>
        <w:t>. Tutor: Marcio da Silva. Polos...UniCEU Freguesia do Ó,Uniceu São Mateus, Feitiço da Vila , 2026.</w:t>
      </w:r>
    </w:p>
    <w:p>
      <w:pPr>
        <w:pStyle w:val="atexto-base"/>
        <w:rPr>
          <w:b/>
        </w:rPr>
      </w:pPr>
      <w:r>
        <w:rPr>
          <w:b/>
        </w:rPr>
      </w:r>
    </w:p>
    <w:p>
      <w:pPr>
        <w:pStyle w:val="atexto-base"/>
        <w:rPr>
          <w:b/>
        </w:rPr>
      </w:pPr>
      <w:r>
        <w:rPr>
          <w:b/>
        </w:rPr>
        <w:t>RESUMO</w:t>
      </w:r>
    </w:p>
    <w:p>
      <w:pPr>
        <w:pStyle w:val="fResumoReferncias"/>
        <w:rPr/>
      </w:pPr>
      <w:r>
        <w:rPr/>
        <w:t>Dado o contínuo aumento das transações eletrônicas com o passar dos anos se fazem cada vez necessários também melhores sistemas e métodos de detecção de fraudes financeiras, algoritmos de Machine Learning de classificação podem ser importantes ferramentas automatizadas nesse contexto. O presente estudo tem por fim a análise comparativa entre os algoritmos Classificador SGD (Gradiente Descendente Estocástico), LightGBM (Máquina de Aumento de Gradiente Leve) e Rede Neural não profunda no dataset específico "Credit Card Fraud Detection" anonimizado e provido pela plataforma Kaggle, para isso usamos a técnica de análise exploratória inicial dos dados a qual nos guiou até o conjunto de dados final e fixo que é usado no treinamento dos diferentes algoritmos, os mesmos são otimizados em métricas de precisão, sensibilidade, tempo de treinamento e tempo de inferência em uma mesma máquina com hardware fixo para que a comparação seja justa.</w:t>
      </w:r>
    </w:p>
    <w:p>
      <w:pPr>
        <w:pStyle w:val="atexto-base"/>
        <w:rPr/>
      </w:pPr>
      <w:r>
        <w:rPr/>
      </w:r>
    </w:p>
    <w:p>
      <w:pPr>
        <w:pStyle w:val="atexto-base"/>
        <w:rPr/>
      </w:pPr>
      <w:r>
        <w:rPr>
          <w:b/>
          <w:bCs/>
        </w:rPr>
        <w:t>PALAVRAS-CHAVE:  Detecção de Fraude; Aprendizado de Máquina; Análise Exploratória; Desbalanceamento de Dados; Cartão de Crédito</w:t>
      </w:r>
      <w:r>
        <w:rPr/>
        <w:t>.</w:t>
      </w:r>
    </w:p>
    <w:p>
      <w:pPr>
        <w:pStyle w:val="atexto-base"/>
        <w:rPr/>
      </w:pPr>
      <w:r>
        <w:rPr/>
      </w:r>
    </w:p>
    <w:p>
      <w:pPr>
        <w:pStyle w:val="Normal"/>
        <w:spacing w:lineRule="auto" w:line="259" w:before="0" w:after="160"/>
        <w:ind w:firstLine="597" w:start="-30"/>
        <w:rPr>
          <w:b/>
        </w:rPr>
      </w:pPr>
      <w:r>
        <w:rPr>
          <w:b/>
        </w:rPr>
      </w:r>
    </w:p>
    <w:p>
      <w:pPr>
        <w:pStyle w:val="atexto-base"/>
        <w:rPr/>
      </w:pPr>
      <w:r>
        <w:rPr/>
      </w:r>
    </w:p>
    <w:p>
      <w:pPr>
        <w:pStyle w:val="atexto-base"/>
        <w:rPr/>
      </w:pPr>
      <w:r>
        <w:rPr/>
      </w:r>
      <w:r>
        <w:br w:type="page"/>
      </w:r>
    </w:p>
    <w:p>
      <w:pPr>
        <w:pStyle w:val="Normal"/>
        <w:spacing w:before="0" w:after="0"/>
        <w:jc w:val="center"/>
        <w:rPr>
          <w:b/>
        </w:rPr>
      </w:pPr>
      <w:r>
        <w:rPr>
          <w:b/>
        </w:rPr>
        <w:t>SUMÁRIO</w:t>
      </w:r>
    </w:p>
    <w:p>
      <w:pPr>
        <w:pStyle w:val="Normal"/>
        <w:ind w:firstLine="30" w:start="-30"/>
        <w:jc w:val="center"/>
        <w:rPr/>
      </w:pPr>
      <w:r>
        <w:rPr/>
      </w:r>
    </w:p>
    <w:p>
      <w:pPr>
        <w:pStyle w:val="atexto-base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rPr>
              <w:rFonts w:ascii="Cambria" w:hAnsi="Cambria" w:eastAsia="" w:cs="" w:asciiTheme="minorHAnsi" w:cstheme="minorBidi" w:eastAsiaTheme="minorEastAsia" w:hAnsiTheme="minorHAnsi"/>
              <w:b w:val="false"/>
              <w:caps w:val="false"/>
              <w:smallCaps w:val="false"/>
              <w:sz w:val="22"/>
              <w:szCs w:val="22"/>
            </w:rPr>
          </w:pPr>
          <w:r>
            <w:fldChar w:fldCharType="begin"/>
          </w:r>
          <w:r>
            <w:rPr>
              <w:rStyle w:val="Vnculodendice"/>
              <w:vanish w:val="false"/>
              <w:webHidden/>
            </w:rPr>
            <w:instrText xml:space="preserve"> TOC \z \t "1) título nivel 1,1,2) título nivel 2,2" \h</w:instrText>
          </w:r>
          <w:r>
            <w:rPr>
              <w:rStyle w:val="Vnculodendice"/>
              <w:vanish w:val="false"/>
              <w:webHidden/>
            </w:rPr>
            <w:fldChar w:fldCharType="separate"/>
          </w:r>
          <w:hyperlink w:anchor="_Toc130202924">
            <w:r>
              <w:rPr>
                <w:rStyle w:val="Vnculodendice"/>
                <w:vanish w:val="false"/>
                <w:webHidden/>
              </w:rPr>
              <w:t>1 Introdução</w:t>
            </w:r>
            <w:r>
              <w:rPr>
                <w:rStyle w:val="Vnculodendice"/>
                <w:vanish w:val="false"/>
              </w:rPr>
              <w:tab/>
            </w:r>
          </w:hyperlink>
          <w:r>
            <w:rPr>
              <w:vanish w:val="false"/>
            </w:rPr>
            <w:t>5</w:t>
          </w:r>
        </w:p>
        <w:p>
          <w:pPr>
            <w:pStyle w:val="TOC1"/>
            <w:rPr>
              <w:rFonts w:ascii="Cambria" w:hAnsi="Cambria" w:eastAsia="" w:cs="" w:asciiTheme="minorHAnsi" w:cstheme="minorBidi" w:eastAsiaTheme="minorEastAsia" w:hAnsiTheme="minorHAnsi"/>
              <w:b w:val="false"/>
              <w:caps w:val="false"/>
              <w:smallCaps w:val="false"/>
              <w:sz w:val="22"/>
              <w:szCs w:val="22"/>
            </w:rPr>
          </w:pPr>
          <w:hyperlink w:anchor="_Toc130202925">
            <w:r>
              <w:rPr>
                <w:rStyle w:val="Vnculodendice"/>
                <w:vanish w:val="false"/>
                <w:webHidden/>
              </w:rPr>
              <w:t>2 Desenvolvimento</w:t>
              <w:tab/>
            </w:r>
          </w:hyperlink>
          <w:r>
            <w:rPr>
              <w:vanish w:val="false"/>
            </w:rPr>
            <w:t>7</w:t>
          </w:r>
        </w:p>
        <w:p>
          <w:pPr>
            <w:pStyle w:val="TOC2"/>
            <w:rPr>
              <w:rFonts w:ascii="Cambria" w:hAnsi="Cambria" w:eastAsia="" w:cs="" w:asciiTheme="minorHAnsi" w:cstheme="minorBidi" w:eastAsiaTheme="minorEastAsia" w:hAnsiTheme="minorHAnsi"/>
              <w:sz w:val="22"/>
              <w:szCs w:val="22"/>
            </w:rPr>
          </w:pPr>
          <w:hyperlink w:anchor="_Toc130202926">
            <w:r>
              <w:rPr>
                <w:rStyle w:val="Vnculodendice"/>
                <w:vanish w:val="false"/>
                <w:webHidden/>
              </w:rPr>
              <w:t>2.1 Objetivos</w:t>
              <w:tab/>
            </w:r>
          </w:hyperlink>
          <w:r>
            <w:rPr>
              <w:vanish w:val="false"/>
            </w:rPr>
            <w:t>7</w:t>
          </w:r>
        </w:p>
        <w:p>
          <w:pPr>
            <w:pStyle w:val="TOC2"/>
            <w:rPr>
              <w:rFonts w:ascii="Cambria" w:hAnsi="Cambria" w:eastAsia="" w:cs="" w:asciiTheme="minorHAnsi" w:cstheme="minorBidi" w:eastAsiaTheme="minorEastAsia" w:hAnsiTheme="minorHAnsi"/>
              <w:sz w:val="22"/>
              <w:szCs w:val="22"/>
            </w:rPr>
          </w:pPr>
          <w:hyperlink w:anchor="_Toc13020292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_Toc130202927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  <w:webHidden/>
              </w:rPr>
              <w:t>2.2 Justificativa e delimitação do problema</w:t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Cambria" w:hAnsi="Cambria" w:eastAsia="" w:cs="" w:asciiTheme="minorHAnsi" w:cstheme="minorBidi" w:eastAsiaTheme="minorEastAsia" w:hAnsiTheme="minorHAnsi"/>
              <w:sz w:val="22"/>
              <w:szCs w:val="22"/>
            </w:rPr>
          </w:pPr>
          <w:hyperlink w:anchor="_Toc13020292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_Toc130202928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  <w:webHidden/>
              </w:rPr>
              <w:t>2.3 Fundamentação teórica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Cambria" w:hAnsi="Cambria" w:eastAsia="" w:cs="" w:asciiTheme="minorHAnsi" w:cstheme="minorBidi" w:eastAsiaTheme="minorEastAsia" w:hAnsiTheme="minorHAnsi"/>
              <w:sz w:val="22"/>
              <w:szCs w:val="22"/>
            </w:rPr>
          </w:pPr>
          <w:hyperlink w:anchor="_Toc13020292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_Toc130202929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  <w:webHidden/>
              </w:rPr>
              <w:t>2.4 Metodologia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Cambria" w:hAnsi="Cambria" w:eastAsia="" w:cs="" w:asciiTheme="minorHAnsi" w:cstheme="minorBidi" w:eastAsiaTheme="minorEastAsia" w:hAnsiTheme="minorHAnsi"/>
              <w:sz w:val="22"/>
              <w:szCs w:val="22"/>
            </w:rPr>
          </w:pPr>
          <w:hyperlink w:anchor="_Toc13020293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_Toc130202930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  <w:webHidden/>
              </w:rPr>
              <w:t>2.5 Resultados preliminares: solução inicial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Cambria" w:hAnsi="Cambria" w:eastAsia="" w:cs="" w:asciiTheme="minorHAnsi" w:cstheme="minorBidi" w:eastAsiaTheme="minorEastAsia" w:hAnsiTheme="minorHAnsi"/>
              <w:b w:val="false"/>
              <w:caps w:val="false"/>
              <w:smallCaps w:val="false"/>
              <w:sz w:val="22"/>
              <w:szCs w:val="22"/>
            </w:rPr>
          </w:pPr>
          <w:hyperlink w:anchor="_Toc13020293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_Toc130202931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  <w:webHidden/>
              </w:rPr>
              <w:t>Referências</w:t>
              <w:tab/>
              <w:t>12</w:t>
            </w:r>
            <w:r>
              <w:rPr>
                <w:webHidden/>
              </w:rPr>
              <w:fldChar w:fldCharType="end"/>
            </w:r>
          </w:hyperlink>
          <w:r>
            <w:rPr>
              <w:rStyle w:val="Vnculodendice"/>
              <w:vanish w:val="false"/>
            </w:rPr>
            <w:fldChar w:fldCharType="end"/>
          </w:r>
        </w:p>
      </w:sdtContent>
    </w:sdt>
    <w:p>
      <w:pPr>
        <w:pStyle w:val="atexto-base"/>
        <w:rPr/>
      </w:pPr>
      <w:r>
        <w:rPr/>
      </w:r>
    </w:p>
    <w:p>
      <w:pPr>
        <w:pStyle w:val="1ttulonivel1"/>
        <w:rPr/>
      </w:pPr>
      <w:bookmarkStart w:id="0" w:name="_Toc43731742"/>
      <w:bookmarkStart w:id="1" w:name="_Toc130202924"/>
      <w:r>
        <w:rPr/>
        <w:t>Introdução</w:t>
      </w:r>
      <w:bookmarkEnd w:id="0"/>
      <w:bookmarkEnd w:id="1"/>
    </w:p>
    <w:p>
      <w:pPr>
        <w:pStyle w:val="atexto-base"/>
        <w:rPr/>
      </w:pPr>
      <w:r>
        <w:rPr/>
        <w:t>O</w:t>
      </w:r>
      <w:r>
        <w:rPr/>
        <w:t xml:space="preserve">s cartões de pagamento – cartões de crédito, débito e charge (este muitíssimo incomum no Brasil) revolucionaram o mercado financeiro e a vida dos consumidores em todo </w:t>
      </w:r>
      <w:r>
        <w:rPr/>
        <w:t xml:space="preserve">o </w:t>
      </w:r>
      <w:r>
        <w:rPr/>
        <w:t xml:space="preserve">mundo </w:t>
      </w:r>
      <w:r>
        <w:rPr/>
        <w:t>a</w:t>
      </w:r>
      <w:r>
        <w:rPr/>
        <w:t xml:space="preserve"> partir da segunda metade do século XX, se tornaram meios de pagamento preferidos entre comerciantes já que introduziram um paradigma de pagamento que é rápido, cômodo e certo ante o dinheiro em espécie ou o cheque e também preferidos entre os consumidores por ser uma forma de alavancagem do padrão de vida já que </w:t>
      </w:r>
      <w:r>
        <w:rPr/>
        <w:t xml:space="preserve">no caso do cartão de crédito permite o consumo antes mesmo da renda ser auferida </w:t>
      </w:r>
      <w:r>
        <w:rPr/>
        <w:t>(Evans; Schmalensee, 2005)</w:t>
      </w:r>
      <w:r>
        <w:rPr/>
        <w:t xml:space="preserve">. </w:t>
      </w:r>
    </w:p>
    <w:p>
      <w:pPr>
        <w:pStyle w:val="atexto-base"/>
        <w:rPr/>
      </w:pPr>
      <w:r>
        <w:rPr/>
        <w:t>No Brasil, o uso de cartões está em franc</w:t>
      </w:r>
      <w:r>
        <w:rPr/>
        <w:t>a</w:t>
      </w:r>
      <w:r>
        <w:rPr/>
        <w:t xml:space="preserve"> expansão com aumentos expressivos ano após ano, de acordo com relatórios da </w:t>
      </w:r>
      <w:r>
        <w:rPr/>
        <w:t xml:space="preserve">Associação Brasileira das Empresas de Cartões de Crédito e Serviços </w:t>
      </w:r>
      <w:r>
        <w:rPr/>
        <w:t xml:space="preserve">(2026) </w:t>
      </w:r>
      <w:r>
        <w:rPr/>
        <w:t>os</w:t>
      </w:r>
      <w:r>
        <w:rPr/>
        <w:t xml:space="preserve"> pagamentos com cartões ating</w:t>
      </w:r>
      <w:r>
        <w:rPr/>
        <w:t>iram</w:t>
      </w:r>
      <w:r>
        <w:rPr/>
        <w:t xml:space="preserve"> a marca de R$ 4,5 trilhões em 2025, crescimento de 10,1% ante o ano 2024 e a quantidade de transações atingiu o montante de 48,1 bilhões, 5,4% a mais do que em 2024. </w:t>
      </w:r>
      <w:r>
        <w:rPr/>
        <w:t xml:space="preserve">As compras não presenciais pela internet e em outros canais remotos com cartões de crédito e débito experimentaram ainda maior aumento com crescimento de 18,3% no volume financeiro transacionado entre 2024 e 2025, </w:t>
      </w:r>
      <w:r>
        <w:rPr/>
        <w:t>esses aumentos tanto no volume transacionado quanto n</w:t>
      </w:r>
      <w:r>
        <w:rPr/>
        <w:t>a</w:t>
      </w:r>
      <w:r>
        <w:rPr/>
        <w:t xml:space="preserve"> quantidade de transações acompanha</w:t>
      </w:r>
      <w:r>
        <w:rPr/>
        <w:t>m</w:t>
      </w:r>
      <w:r>
        <w:rPr/>
        <w:t xml:space="preserve"> sérios desafios ao setor de prevenção de fraudes bancárias o qual através de pesquisa mostra que houve crescimento de 10,4% nessas tentativas entre os anos de 2023 e 2024 com o cartão de crédito sendo um dos meios mais usados pelos criminosos e que lidera o ranking com 47,9% das tentativas no conjunto de todos meios, esse tipo de problema afeta a confiança do consumidor brasileiro nos métodos de pagamento online, a percepção dos consumidores na deterioração da capacidade das empresas de cartão de crédito em protegê-los de fraudes aumentou de 41% a 49% entre os anos de 2023 e 2024 </w:t>
      </w:r>
      <w:r>
        <w:rPr/>
        <w:t>(Serasa Experian, 2025)</w:t>
      </w:r>
      <w:r>
        <w:rPr/>
        <w:t xml:space="preserve">. </w:t>
      </w:r>
    </w:p>
    <w:p>
      <w:pPr>
        <w:pStyle w:val="atexto-base"/>
        <w:rPr/>
      </w:pPr>
      <w:r>
        <w:rPr/>
        <w:t>Dado esse contexto a prevenção a fraudes passou a depender de sistemas automáticos, o volume de transações, na casa das dezenas de bilhões por ano e a necessidade de decidir no momento da autorização se a compra deve ser aprovada ou não tornam a análise manual inviável para cada operação, analistas conseguem verificar uma parcela muitíssimo diminuta do total dos alertas gerados (DAL POZZOLO et al., 2018).</w:t>
      </w:r>
    </w:p>
    <w:p>
      <w:pPr>
        <w:pStyle w:val="atexto-base"/>
        <w:rPr/>
      </w:pPr>
      <w:r>
        <w:rPr/>
        <w:t>O problema, porém, tem dificuldades específicas: as fraudes representam uma fração diminuta das transações (0,17% na base utilizada neste trabalho), o que exige técnicas e métricas de avaliação adequadas a classes fortemente desbalanceadas (HE; GARCIA, 2009; SAITO; REHMSMEIER, 2015). Neste contexto, este trabalho compara três classificadores de naturezas bem distintas: um modelo linear treinado por gradiente estocástico, um modelo de boosting de árvores, o LightGBM, e uma rede neural na detecção de transações fraudulentas com cartão de crédito.</w:t>
      </w:r>
    </w:p>
    <w:p>
      <w:pPr>
        <w:pStyle w:val="atexto-base"/>
        <w:rPr/>
      </w:pPr>
      <w:r>
        <w:rPr/>
        <w:t xml:space="preserve"> </w:t>
      </w:r>
    </w:p>
    <w:p>
      <w:pPr>
        <w:pStyle w:val="atexto-base"/>
        <w:rPr/>
      </w:pPr>
      <w:r>
        <w:rPr/>
      </w:r>
    </w:p>
    <w:p>
      <w:pPr>
        <w:pStyle w:val="atexto-base"/>
        <w:rPr/>
      </w:pPr>
      <w:r>
        <w:rPr/>
      </w:r>
    </w:p>
    <w:p>
      <w:pPr>
        <w:pStyle w:val="1ttulonivel1"/>
        <w:rPr/>
      </w:pPr>
      <w:bookmarkStart w:id="2" w:name="_Toc43731743"/>
      <w:bookmarkStart w:id="3" w:name="_Toc130202925"/>
      <w:r>
        <w:rPr/>
        <w:t>Desenvolvimento</w:t>
      </w:r>
      <w:bookmarkEnd w:id="2"/>
      <w:bookmarkEnd w:id="3"/>
    </w:p>
    <w:p>
      <w:pPr>
        <w:pStyle w:val="atexto-base"/>
        <w:rPr/>
      </w:pPr>
      <w:r>
        <w:rPr/>
      </w:r>
    </w:p>
    <w:p>
      <w:pPr>
        <w:pStyle w:val="2ttulonivel2"/>
        <w:rPr/>
      </w:pPr>
      <w:bookmarkStart w:id="4" w:name="_Toc130202926"/>
      <w:bookmarkStart w:id="5" w:name="_Toc43731744"/>
      <w:r>
        <w:rPr/>
        <w:t>2.1 Objetivos</w:t>
      </w:r>
      <w:bookmarkEnd w:id="4"/>
      <w:bookmarkEnd w:id="5"/>
    </w:p>
    <w:p>
      <w:pPr>
        <w:pStyle w:val="atexto-base"/>
        <w:rPr/>
      </w:pPr>
      <w:r>
        <w:rPr/>
        <w:t>O objetivo geral define o que se pretende atingir com o projeto.</w:t>
      </w:r>
    </w:p>
    <w:p>
      <w:pPr>
        <w:pStyle w:val="atexto-base"/>
        <w:rPr/>
      </w:pPr>
      <w:r>
        <w:rPr/>
        <w:t>Os objetivos específicos definem as etapas do trabalho a serem realizadas para que se alcance o objetivo geral. Os objetivos podem ser: exploratórios, descritivos e explicativos.</w:t>
      </w:r>
    </w:p>
    <w:p>
      <w:pPr>
        <w:pStyle w:val="atexto-base"/>
        <w:rPr/>
      </w:pPr>
      <w:r>
        <w:rPr/>
        <w:t>Utilize verbos nos infinitivos para os objetivos:</w:t>
      </w:r>
    </w:p>
    <w:p>
      <w:pPr>
        <w:pStyle w:val="btextocombullets"/>
        <w:numPr>
          <w:ilvl w:val="0"/>
          <w:numId w:val="1"/>
        </w:numPr>
        <w:rPr/>
      </w:pPr>
      <w:r>
        <w:rPr/>
        <w:t>Exploratórios (conhecer, identificar, levantar, descobrir);</w:t>
      </w:r>
    </w:p>
    <w:p>
      <w:pPr>
        <w:pStyle w:val="btextocombullets"/>
        <w:numPr>
          <w:ilvl w:val="0"/>
          <w:numId w:val="1"/>
        </w:numPr>
        <w:rPr/>
      </w:pPr>
      <w:r>
        <w:rPr/>
        <w:t>Descritivos (caracterizar, descrever, traçar, determinar);</w:t>
      </w:r>
    </w:p>
    <w:p>
      <w:pPr>
        <w:pStyle w:val="btextocombullets"/>
        <w:numPr>
          <w:ilvl w:val="0"/>
          <w:numId w:val="1"/>
        </w:numPr>
        <w:rPr/>
      </w:pPr>
      <w:r>
        <w:rPr/>
        <w:t>Explicativos (analisar, avaliar, verificar, explicar).</w:t>
      </w:r>
    </w:p>
    <w:p>
      <w:pPr>
        <w:pStyle w:val="atexto-base"/>
        <w:rPr>
          <w:b/>
          <w:bCs/>
        </w:rPr>
      </w:pPr>
      <w:r>
        <w:rPr>
          <w:b/>
          <w:bCs/>
        </w:rPr>
      </w:r>
    </w:p>
    <w:p>
      <w:pPr>
        <w:pStyle w:val="2ttulonivel2"/>
        <w:rPr/>
      </w:pPr>
      <w:bookmarkStart w:id="6" w:name="_Toc43731745"/>
      <w:bookmarkStart w:id="7" w:name="_Toc130202927"/>
      <w:r>
        <w:rPr/>
        <w:t>2.2 Justificativa e delimitação do problema</w:t>
      </w:r>
      <w:bookmarkEnd w:id="7"/>
      <w:r>
        <w:rPr/>
        <w:t xml:space="preserve"> </w:t>
      </w:r>
      <w:bookmarkEnd w:id="6"/>
    </w:p>
    <w:p>
      <w:pPr>
        <w:pStyle w:val="atexto-base"/>
        <w:rPr/>
      </w:pPr>
      <w:r>
        <w:rPr/>
        <w:t xml:space="preserve">Para a formulação do problema, o grupo deve elaborar uma pergunta que norteará o desenvolvimento da pesquisa e para a qual será gerada a solução. </w:t>
      </w:r>
    </w:p>
    <w:p>
      <w:pPr>
        <w:pStyle w:val="atexto-base"/>
        <w:rPr/>
      </w:pPr>
      <w:r>
        <w:rPr/>
        <w:t>Neste item, espera-se que o grupo traga as razões ou práticas que justifiquem a proposta inicial. Exemplos de justificativa:</w:t>
      </w:r>
    </w:p>
    <w:p>
      <w:pPr>
        <w:pStyle w:val="btextocombullets"/>
        <w:numPr>
          <w:ilvl w:val="0"/>
          <w:numId w:val="1"/>
        </w:numPr>
        <w:rPr/>
      </w:pPr>
      <w:r>
        <w:rPr/>
        <w:t>Relevância social, cultural e acadêmica;</w:t>
      </w:r>
    </w:p>
    <w:p>
      <w:pPr>
        <w:pStyle w:val="btextocombullets"/>
        <w:numPr>
          <w:ilvl w:val="0"/>
          <w:numId w:val="1"/>
        </w:numPr>
        <w:rPr/>
      </w:pPr>
      <w:r>
        <w:rPr/>
        <w:t xml:space="preserve">Contribuições da pesquisa para o local onde o projeto será desenvolvido. </w:t>
      </w:r>
    </w:p>
    <w:p>
      <w:pPr>
        <w:pStyle w:val="atexto-base"/>
        <w:rPr>
          <w:b/>
          <w:bCs/>
        </w:rPr>
      </w:pPr>
      <w:r>
        <w:rPr>
          <w:b/>
          <w:bCs/>
        </w:rPr>
      </w:r>
    </w:p>
    <w:p>
      <w:pPr>
        <w:pStyle w:val="2ttulonivel2"/>
        <w:rPr/>
      </w:pPr>
      <w:bookmarkStart w:id="8" w:name="_Toc43731746"/>
      <w:bookmarkStart w:id="9" w:name="_Toc130202928"/>
      <w:r>
        <w:rPr/>
        <w:t>2.3 Fundamentação teórica</w:t>
      </w:r>
      <w:bookmarkEnd w:id="8"/>
      <w:bookmarkEnd w:id="9"/>
    </w:p>
    <w:p>
      <w:pPr>
        <w:pStyle w:val="atexto-base"/>
        <w:rPr/>
      </w:pPr>
      <w:r>
        <w:rPr/>
        <w:t>Pesquisar em fontes confiáveis como monografias, trabalhos de conclusão de cursos, artigos científicos, revistas especializadas, dissertações e teses, entre outras fontes, como instituições públicas ligadas às normatizações.</w:t>
      </w:r>
    </w:p>
    <w:p>
      <w:pPr>
        <w:pStyle w:val="atexto-base"/>
        <w:rPr/>
      </w:pPr>
      <w:r>
        <w:rPr/>
        <w:t>A fundamentação deve ser condizente com o problema em estudo.</w:t>
      </w:r>
    </w:p>
    <w:p>
      <w:pPr>
        <w:pStyle w:val="atexto-base"/>
        <w:rPr/>
      </w:pPr>
      <w:r>
        <w:rPr/>
        <w:t>Busque e cite fundamentos relevantes e atuais sobre o assunto a ser estudado e demonstre o entendimento da literatura existente sobre o tema.</w:t>
      </w:r>
    </w:p>
    <w:p>
      <w:pPr>
        <w:pStyle w:val="atexto-base"/>
        <w:rPr/>
      </w:pPr>
      <w:r>
        <w:rPr/>
        <w:t xml:space="preserve">As citações e paráfrases devem ser feitas de acordo com as regras da ABNT 6023, de 2002. </w:t>
      </w:r>
    </w:p>
    <w:p>
      <w:pPr>
        <w:pStyle w:val="atexto-base"/>
        <w:rPr/>
      </w:pPr>
      <w:r>
        <w:rPr/>
        <w:t>Para citações indiretas: (AUTOR, ano) ou Autor (ano).</w:t>
      </w:r>
    </w:p>
    <w:p>
      <w:pPr>
        <w:pStyle w:val="atexto-base"/>
        <w:rPr/>
      </w:pPr>
      <w:r>
        <w:rPr/>
        <w:t xml:space="preserve">Para citações diretas: </w:t>
      </w:r>
    </w:p>
    <w:p>
      <w:pPr>
        <w:pStyle w:val="btextocombullets"/>
        <w:numPr>
          <w:ilvl w:val="0"/>
          <w:numId w:val="1"/>
        </w:numPr>
        <w:rPr/>
      </w:pPr>
      <w:r>
        <w:rPr/>
        <w:t>Menos de três linhas: entre aspas, acompanhadas de (AUTOR, ano, p. xx).</w:t>
      </w:r>
    </w:p>
    <w:p>
      <w:pPr>
        <w:pStyle w:val="btextocombullets"/>
        <w:numPr>
          <w:ilvl w:val="0"/>
          <w:numId w:val="1"/>
        </w:numPr>
        <w:rPr/>
      </w:pPr>
      <w:r>
        <w:rPr/>
        <w:t>Mais de três linhas: sem aspas, fonte tamanho 10, e recuo de parágrafo de 4 cm e espaçamento simples. Exemplo:</w:t>
      </w:r>
    </w:p>
    <w:p>
      <w:pPr>
        <w:pStyle w:val="ccitao"/>
        <w:rPr/>
      </w:pPr>
      <w:r>
        <w:rPr/>
        <w:t>Faz necessária a busca por alternativas para dinamizar o processo de ensino-aprendizagem em que o professor e os alunos sejam sujeitos e caminhem juntos na aventura de aprender e descobrir o novo e vejam sentido nos seus fazeres e não simplesmente no cumprimento de mais uma tarefa. A matemática, portanto, faz parte da vida e pode ser aprendida de uma maneira dinâmica, desafiante e divertida. (PILETTI, 1998, p. 102).</w:t>
      </w:r>
    </w:p>
    <w:p>
      <w:pPr>
        <w:pStyle w:val="atexto-base"/>
        <w:rPr/>
      </w:pPr>
      <w:r>
        <w:rPr/>
      </w:r>
    </w:p>
    <w:p>
      <w:pPr>
        <w:pStyle w:val="2ttulonivel2"/>
        <w:rPr>
          <w:b/>
          <w:bCs/>
        </w:rPr>
      </w:pPr>
      <w:bookmarkStart w:id="10" w:name="_Toc130202929"/>
      <w:bookmarkStart w:id="11" w:name="_Toc43731747"/>
      <w:bookmarkStart w:id="12" w:name="_Hlk74732303"/>
      <w:r>
        <w:rPr/>
        <w:t xml:space="preserve">2.4 </w:t>
      </w:r>
      <w:bookmarkStart w:id="13" w:name="_Toc43731748"/>
      <w:bookmarkEnd w:id="11"/>
      <w:bookmarkEnd w:id="12"/>
      <w:r>
        <w:rPr/>
        <w:t>Metodologia</w:t>
      </w:r>
      <w:bookmarkEnd w:id="10"/>
      <w:bookmarkEnd w:id="13"/>
    </w:p>
    <w:p>
      <w:pPr>
        <w:pStyle w:val="atexto-base"/>
        <w:rPr/>
      </w:pPr>
      <w:r>
        <w:rPr/>
        <w:t xml:space="preserve">Metodologia refere-se aos métodos e instrumentos adotados para a execução do projeto. Nesta seção, espera-se que o grupo descreva os passos e as estratégias adotadas para o desenvolvimento do Projeto Integrador. </w:t>
      </w:r>
    </w:p>
    <w:p>
      <w:pPr>
        <w:pStyle w:val="atexto-base"/>
        <w:rPr/>
      </w:pPr>
      <w:r>
        <w:rPr/>
        <w:t xml:space="preserve">Assim, indique as estratégias adotadas em cada etapa do projeto: </w:t>
      </w:r>
    </w:p>
    <w:p>
      <w:pPr>
        <w:pStyle w:val="atexto-base"/>
        <w:rPr/>
      </w:pPr>
      <w:r>
        <w:rPr/>
        <w:t>- Ouvir e interpretar o contexto:</w:t>
      </w:r>
    </w:p>
    <w:p>
      <w:pPr>
        <w:pStyle w:val="btextocombullets"/>
        <w:numPr>
          <w:ilvl w:val="0"/>
          <w:numId w:val="1"/>
        </w:numPr>
        <w:rPr/>
      </w:pPr>
      <w:r>
        <w:rPr/>
        <w:t>Descrição do contexto em que o projeto foi realizado;</w:t>
      </w:r>
    </w:p>
    <w:p>
      <w:pPr>
        <w:pStyle w:val="btextocombullets"/>
        <w:numPr>
          <w:ilvl w:val="0"/>
          <w:numId w:val="1"/>
        </w:numPr>
        <w:rPr/>
      </w:pPr>
      <w:r>
        <w:rPr/>
        <w:t>Perfil dos sujeitos participantes, se for o caso;</w:t>
      </w:r>
    </w:p>
    <w:p>
      <w:pPr>
        <w:pStyle w:val="btextocombullets"/>
        <w:numPr>
          <w:ilvl w:val="0"/>
          <w:numId w:val="1"/>
        </w:numPr>
        <w:rPr/>
      </w:pPr>
      <w:r>
        <w:rPr/>
        <w:t>Como as informações iniciais foram coletadas: observação, entrevista, formulário, questionário etc.</w:t>
      </w:r>
    </w:p>
    <w:p>
      <w:pPr>
        <w:pStyle w:val="atexto-base"/>
        <w:rPr/>
      </w:pPr>
      <w:r>
        <w:rPr/>
        <w:t>- Criar / Prototipar:</w:t>
      </w:r>
    </w:p>
    <w:p>
      <w:pPr>
        <w:pStyle w:val="btextocombullets"/>
        <w:numPr>
          <w:ilvl w:val="0"/>
          <w:numId w:val="1"/>
        </w:numPr>
        <w:rPr/>
      </w:pPr>
      <w:r>
        <w:rPr/>
        <w:t xml:space="preserve">Análise dos dados, por exemplo, estratégias referentes à pesquisa qualitativa ou quantitativa; </w:t>
      </w:r>
    </w:p>
    <w:p>
      <w:pPr>
        <w:pStyle w:val="btextocombullets"/>
        <w:numPr>
          <w:ilvl w:val="0"/>
          <w:numId w:val="1"/>
        </w:numPr>
        <w:rPr/>
      </w:pPr>
      <w:r>
        <w:rPr/>
        <w:t xml:space="preserve">Descrição das soluções encontradas ou desenvolvidas para o problema investigado. </w:t>
      </w:r>
    </w:p>
    <w:p>
      <w:pPr>
        <w:pStyle w:val="atexto-base"/>
        <w:rPr/>
      </w:pPr>
      <w:r>
        <w:rPr/>
        <w:t>- Implementar / Testar:</w:t>
      </w:r>
    </w:p>
    <w:p>
      <w:pPr>
        <w:pStyle w:val="btextocombullets"/>
        <w:numPr>
          <w:ilvl w:val="0"/>
          <w:numId w:val="1"/>
        </w:numPr>
        <w:rPr/>
      </w:pPr>
      <w:r>
        <w:rPr/>
        <w:t>Como a solução foi testada? Que devolutivas sobre a solução o grupo conseguiu coletar?</w:t>
      </w:r>
    </w:p>
    <w:p>
      <w:pPr>
        <w:pStyle w:val="btextocombullets"/>
        <w:numPr>
          <w:ilvl w:val="0"/>
          <w:numId w:val="1"/>
        </w:numPr>
        <w:rPr/>
      </w:pPr>
      <w:r>
        <w:rPr/>
        <w:t>Que melhorias foram indicadas para as soluções propostas/desenvolvidas?</w:t>
      </w:r>
    </w:p>
    <w:p>
      <w:pPr>
        <w:pStyle w:val="atexto-base"/>
        <w:rPr/>
      </w:pPr>
      <w:r>
        <w:rPr/>
        <w:t xml:space="preserve">Finalmente, este é o espaço para que o leitor do seu projeto entenda, em detalhes, quais foram as estratégias usadas para que os resultados fossem obtidos. </w:t>
      </w:r>
    </w:p>
    <w:p>
      <w:pPr>
        <w:pStyle w:val="atexto-base"/>
        <w:rPr/>
      </w:pPr>
      <w:r>
        <w:rPr/>
      </w:r>
    </w:p>
    <w:p>
      <w:pPr>
        <w:pStyle w:val="2ttulonivel2"/>
        <w:rPr/>
      </w:pPr>
      <w:bookmarkStart w:id="14" w:name="_Toc130202930"/>
      <w:r>
        <w:rPr/>
        <w:t>2.5 Resultados preliminares: solução inicial</w:t>
      </w:r>
      <w:bookmarkEnd w:id="14"/>
      <w:r>
        <w:rPr/>
        <w:t xml:space="preserve"> </w:t>
      </w:r>
    </w:p>
    <w:p>
      <w:pPr>
        <w:pStyle w:val="atexto-base"/>
        <w:rPr/>
      </w:pPr>
      <w:r>
        <w:rPr/>
        <w:t xml:space="preserve">O grupo deve demonstrar a criação de soluções com base na metodologia indicada pela UNIVESP, respeitando os passos </w:t>
      </w:r>
      <w:r>
        <w:rPr>
          <w:b/>
          <w:bCs/>
        </w:rPr>
        <w:t xml:space="preserve">ouvir, criar </w:t>
      </w:r>
      <w:r>
        <w:rPr/>
        <w:t>e</w:t>
      </w:r>
      <w:r>
        <w:rPr>
          <w:b/>
          <w:bCs/>
        </w:rPr>
        <w:t xml:space="preserve"> implementar</w:t>
      </w:r>
      <w:r>
        <w:rPr/>
        <w:t>. Portanto, deve identificar quais foram os resultados obtidos em cada um dos passos para a construção da solução.</w:t>
      </w:r>
    </w:p>
    <w:p>
      <w:pPr>
        <w:pStyle w:val="atexto-base"/>
        <w:rPr/>
      </w:pPr>
      <w:r>
        <w:rPr/>
        <w:t xml:space="preserve">É importante que o grupo inclua imagens, </w:t>
      </w:r>
      <w:r>
        <w:rPr>
          <w:i/>
          <w:iCs/>
        </w:rPr>
        <w:t>storyboards</w:t>
      </w:r>
      <w:r>
        <w:rPr/>
        <w:t xml:space="preserve"> ou ilustrações que demonstrem visualmente a solução adotada, junto aos passos desenvolvidos. Dessa forma, sugere-se que, neste capítulo, seja apresentada uma descrição detalhada de como se deu o processo de construção da primeira solução desenvolvida pelo grupo.</w:t>
      </w:r>
    </w:p>
    <w:p>
      <w:pPr>
        <w:pStyle w:val="atexto-base"/>
        <w:rPr/>
      </w:pPr>
      <w:r>
        <w:rPr/>
      </w:r>
    </w:p>
    <w:p>
      <w:pPr>
        <w:pStyle w:val="atexto-base"/>
        <w:rPr/>
      </w:pPr>
      <w:r>
        <w:rPr/>
      </w:r>
    </w:p>
    <w:p>
      <w:pPr>
        <w:pStyle w:val="1ttulonivel1"/>
        <w:rPr/>
      </w:pPr>
      <w:bookmarkStart w:id="15" w:name="_Toc43731753"/>
      <w:bookmarkStart w:id="16" w:name="_Toc130202931"/>
      <w:r>
        <w:rPr/>
        <w:t>Referências</w:t>
      </w:r>
      <w:bookmarkEnd w:id="15"/>
      <w:bookmarkEnd w:id="16"/>
    </w:p>
    <w:p>
      <w:pPr>
        <w:pStyle w:val="atexto-base"/>
        <w:rPr/>
      </w:pPr>
      <w:r>
        <w:rPr/>
        <w:t>EVANS, David S.; SCHMALENSEE, Richard. Paying with plastic: the digital revolution in buying and borrowing. 2. ed. Cambridge: The MIT Press, 2005.</w:t>
      </w:r>
    </w:p>
    <w:p>
      <w:pPr>
        <w:pStyle w:val="atexto-base"/>
        <w:rPr/>
      </w:pPr>
      <w:r>
        <w:rPr/>
        <w:t>ASSOCIAÇÃO BRASILEIRA DAS EMPRESAS DE CARTÕES DE CRÉDITO E SERVIÇOS (ABECS). Pagamentos com cartões atingem a marca de R$ 4,5 trilhões em 2025, crescimento de 10,1%. São Paulo: Abecs, 2026. Disponível em: https://web.archive.org/web/20260310035744/https://abecs.org.br/storage/releases/26/01KH6JE3264GSN5Q3PDGEC909D.pdf. Acesso em: 28 set. 2026.</w:t>
      </w:r>
    </w:p>
    <w:p>
      <w:pPr>
        <w:pStyle w:val="atexto-base"/>
        <w:rPr/>
      </w:pPr>
      <w:r>
        <w:rPr/>
        <w:t>SERASA EXPERIAN. Tentativas de fraudes bancárias cresceram 10,4% em 2024 e poderiam gerar prejuízo de até R$ 51,6 bilhões, revela Serasa Experian. Sala de Imprensa, São Paulo, 11 mar. 2025. Disponível em: https://web.archive.org/web/20260513032147/https://www.serasaexperian.com.br/sala-de-imprensa/prevencao-a-fraude/tentativas-de-fraudes-bancarias-cresceram-104-em-2024-e-poderiam-gerar-prejuizo-de-ate-r-516-bilhoes-revela-serasa-experian/. Acesso em: 28 set. 2026.</w:t>
      </w:r>
    </w:p>
    <w:p>
      <w:pPr>
        <w:pStyle w:val="atexto-base"/>
        <w:rPr/>
      </w:pPr>
      <w:r>
        <w:rPr/>
        <w:t xml:space="preserve">DAL POZZOLO, A. et al. Credit card fraud detection: a realistic modeling and a novel learning strategy. </w:t>
      </w:r>
      <w:r>
        <w:rPr>
          <w:rStyle w:val="Emphasis"/>
        </w:rPr>
        <w:t>IEEE Transactions on Neural Networks and Learning Systems</w:t>
      </w:r>
      <w:r>
        <w:rPr/>
        <w:t>, v. 29, n. 8, 2018.</w:t>
      </w:r>
    </w:p>
    <w:p>
      <w:pPr>
        <w:pStyle w:val="atexto-base"/>
        <w:rPr/>
      </w:pPr>
      <w:r>
        <w:rPr/>
        <w:t xml:space="preserve">SAITO, T.; REHMSMEIER, M. The precision-recall plot is more informative than the ROC plot when evaluating binary classifiers on imbalanced datasets. </w:t>
      </w:r>
      <w:r>
        <w:rPr>
          <w:rStyle w:val="Emphasis"/>
        </w:rPr>
        <w:t>PLOS ONE</w:t>
      </w:r>
      <w:r>
        <w:rPr/>
        <w:t>, v. 10, n. 3, 2015.</w:t>
      </w:r>
    </w:p>
    <w:p>
      <w:pPr>
        <w:pStyle w:val="atexto-base"/>
        <w:rPr/>
      </w:pPr>
      <w:r>
        <w:rPr/>
      </w:r>
    </w:p>
    <w:p>
      <w:pPr>
        <w:pStyle w:val="atexto-base"/>
        <w:spacing w:before="0" w:after="360"/>
        <w:rPr/>
      </w:pPr>
      <w:r>
        <w:rPr/>
      </w:r>
    </w:p>
    <w:sectPr>
      <w:type w:val="nextPage"/>
      <w:pgSz w:w="11906" w:h="16838"/>
      <w:pgMar w:left="1701" w:right="1134" w:gutter="0" w:header="0" w:top="1701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12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4"/>
        <w:szCs w:val="24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9224c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pt-BR" w:eastAsia="pt-BR" w:bidi="ar-SA"/>
    </w:rPr>
  </w:style>
  <w:style w:type="paragraph" w:styleId="Heading1">
    <w:name w:val="heading 1"/>
    <w:basedOn w:val="Normal"/>
    <w:next w:val="Normal"/>
    <w:link w:val="Ttulo1Char"/>
    <w:uiPriority w:val="9"/>
    <w:qFormat/>
    <w:rsid w:val="00c9224c"/>
    <w:pPr>
      <w:spacing w:lineRule="auto" w:line="360"/>
      <w:outlineLvl w:val="0"/>
    </w:pPr>
    <w:rPr>
      <w:b/>
    </w:rPr>
  </w:style>
  <w:style w:type="paragraph" w:styleId="Heading2">
    <w:name w:val="heading 2"/>
    <w:basedOn w:val="Normal"/>
    <w:next w:val="Normal"/>
    <w:link w:val="Ttulo2Char"/>
    <w:uiPriority w:val="9"/>
    <w:unhideWhenUsed/>
    <w:qFormat/>
    <w:rsid w:val="00c9224c"/>
    <w:pPr>
      <w:keepNext w:val="true"/>
      <w:keepLines/>
      <w:spacing w:before="40" w:after="0"/>
      <w:outlineLvl w:val="1"/>
    </w:pPr>
    <w:rPr>
      <w:rFonts w:ascii="Calibri" w:hAnsi="Calibri" w:eastAsia="" w:cs="" w:asciiTheme="majorHAnsi" w:cstheme="majorBidi" w:eastAsiaTheme="majorEastAsia" w:hAnsiTheme="majorHAnsi"/>
      <w:color w:themeColor="accent1" w:themeShade="bf" w:val="365F91"/>
      <w:sz w:val="26"/>
      <w:szCs w:val="26"/>
    </w:rPr>
  </w:style>
  <w:style w:type="paragraph" w:styleId="Heading3">
    <w:name w:val="heading 3"/>
    <w:basedOn w:val="Normal"/>
    <w:next w:val="Normal"/>
    <w:link w:val="Ttulo3Char"/>
    <w:uiPriority w:val="9"/>
    <w:semiHidden/>
    <w:unhideWhenUsed/>
    <w:qFormat/>
    <w:rsid w:val="006079d1"/>
    <w:pPr>
      <w:keepNext w:val="true"/>
      <w:keepLines/>
      <w:spacing w:before="40" w:after="0"/>
      <w:outlineLvl w:val="2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uiPriority w:val="9"/>
    <w:qFormat/>
    <w:rsid w:val="00c9224c"/>
    <w:rPr>
      <w:rFonts w:ascii="Times New Roman" w:hAnsi="Times New Roman" w:eastAsia="Times New Roman" w:cs="Times New Roman"/>
      <w:b/>
      <w:lang w:eastAsia="pt-BR"/>
    </w:rPr>
  </w:style>
  <w:style w:type="character" w:styleId="Ttulo2Char" w:customStyle="1">
    <w:name w:val="Título 2 Char"/>
    <w:basedOn w:val="DefaultParagraphFont"/>
    <w:uiPriority w:val="9"/>
    <w:qFormat/>
    <w:rsid w:val="00c9224c"/>
    <w:rPr>
      <w:rFonts w:ascii="Calibri" w:hAnsi="Calibri" w:eastAsia="" w:cs="" w:asciiTheme="majorHAnsi" w:cstheme="majorBidi" w:eastAsiaTheme="majorEastAsia" w:hAnsiTheme="majorHAnsi"/>
      <w:color w:themeColor="accent1" w:themeShade="bf" w:val="365F91"/>
      <w:sz w:val="26"/>
      <w:szCs w:val="26"/>
      <w:lang w:eastAsia="pt-BR"/>
    </w:rPr>
  </w:style>
  <w:style w:type="character" w:styleId="Hyperlink">
    <w:name w:val="Hyperlink"/>
    <w:basedOn w:val="DefaultParagraphFont"/>
    <w:uiPriority w:val="99"/>
    <w:unhideWhenUsed/>
    <w:rsid w:val="00c9224c"/>
    <w:rPr>
      <w:color w:themeColor="hyperlink" w:val="0000FF"/>
      <w:u w:val="single"/>
    </w:rPr>
  </w:style>
  <w:style w:type="character" w:styleId="TextodecomentrioChar" w:customStyle="1">
    <w:name w:val="Texto de comentário Char"/>
    <w:basedOn w:val="DefaultParagraphFont"/>
    <w:uiPriority w:val="99"/>
    <w:semiHidden/>
    <w:qFormat/>
    <w:rPr>
      <w:rFonts w:ascii="Times New Roman" w:hAnsi="Times New Roman" w:eastAsia="Times New Roman" w:cs="Times New Roman"/>
      <w:sz w:val="20"/>
      <w:szCs w:val="20"/>
      <w:lang w:eastAsia="pt-BR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styleId="Ttulo3Char" w:customStyle="1">
    <w:name w:val="Título 3 Char"/>
    <w:basedOn w:val="DefaultParagraphFont"/>
    <w:uiPriority w:val="9"/>
    <w:semiHidden/>
    <w:qFormat/>
    <w:rsid w:val="006079d1"/>
    <w:rPr>
      <w:rFonts w:ascii="Calibri" w:hAnsi="Calibri" w:eastAsia="" w:cs="" w:asciiTheme="majorHAnsi" w:cstheme="majorBidi" w:eastAsiaTheme="majorEastAsia" w:hAnsiTheme="majorHAnsi"/>
      <w:color w:themeColor="accent1" w:themeShade="7f" w:val="243F60"/>
      <w:lang w:eastAsia="pt-BR"/>
    </w:rPr>
  </w:style>
  <w:style w:type="character" w:styleId="Vnculodendiceuser">
    <w:name w:val="Vínculo de índice (user)"/>
    <w:qFormat/>
    <w:rPr/>
  </w:style>
  <w:style w:type="character" w:styleId="Vnculodendice">
    <w:name w:val="Vínculo de índice"/>
    <w:qFormat/>
    <w:rPr/>
  </w:style>
  <w:style w:type="character" w:styleId="Smbolosdenumerao">
    <w:name w:val="Símbolos de numeração"/>
    <w:qFormat/>
    <w:rPr/>
  </w:style>
  <w:style w:type="character" w:styleId="Emphasis">
    <w:name w:val="Emphasis"/>
    <w:qFormat/>
    <w:rPr>
      <w:i/>
      <w:iCs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Noto Sans Devanagari"/>
    </w:rPr>
  </w:style>
  <w:style w:type="paragraph" w:styleId="Normal0" w:customStyle="1">
    <w:name w:val="Normal0"/>
    <w:basedOn w:val="Normal"/>
    <w:qFormat/>
    <w:rsid w:val="00c9224c"/>
    <w:pPr/>
    <w:rPr/>
  </w:style>
  <w:style w:type="paragraph" w:styleId="ListParagraph">
    <w:name w:val="List Paragraph"/>
    <w:basedOn w:val="Normal"/>
    <w:uiPriority w:val="34"/>
    <w:qFormat/>
    <w:rsid w:val="00c9224c"/>
    <w:pPr>
      <w:spacing w:lineRule="auto" w:line="360" w:before="0" w:after="0"/>
      <w:ind w:start="720"/>
      <w:contextualSpacing/>
      <w:jc w:val="center"/>
    </w:pPr>
    <w:rPr>
      <w:rFonts w:ascii="Arial" w:hAnsi="Arial" w:eastAsia="Arial" w:cs="Arial"/>
      <w:color w:val="000000"/>
    </w:rPr>
  </w:style>
  <w:style w:type="paragraph" w:styleId="CommentText">
    <w:name w:val="annotation text"/>
    <w:basedOn w:val="Normal"/>
    <w:link w:val="TextodecomentrioChar"/>
    <w:uiPriority w:val="99"/>
    <w:semiHidden/>
    <w:unhideWhenUsed/>
    <w:pPr/>
    <w:rPr>
      <w:sz w:val="20"/>
      <w:szCs w:val="20"/>
    </w:rPr>
  </w:style>
  <w:style w:type="paragraph" w:styleId="atexto-base" w:customStyle="1">
    <w:name w:val="a) texto-base"/>
    <w:qFormat/>
    <w:rsid w:val="005e1a0d"/>
    <w:pPr>
      <w:widowControl/>
      <w:suppressAutoHyphens w:val="true"/>
      <w:bidi w:val="0"/>
      <w:spacing w:lineRule="auto" w:line="360" w:before="0" w:after="36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pt-BR" w:eastAsia="pt-BR" w:bidi="ar-SA"/>
    </w:rPr>
  </w:style>
  <w:style w:type="paragraph" w:styleId="btextocombullets" w:customStyle="1">
    <w:name w:val="b) texto com bullets"/>
    <w:basedOn w:val="atexto-base"/>
    <w:qFormat/>
    <w:rsid w:val="00b431d7"/>
    <w:pPr>
      <w:numPr>
        <w:ilvl w:val="0"/>
        <w:numId w:val="1"/>
      </w:numPr>
      <w:spacing w:before="0" w:after="360"/>
      <w:contextualSpacing/>
    </w:pPr>
    <w:rPr>
      <w:rFonts w:cs="" w:asciiTheme="majorBidi" w:cstheme="majorBidi" w:hAnsiTheme="majorBidi"/>
      <w:color w:val="000000"/>
    </w:rPr>
  </w:style>
  <w:style w:type="paragraph" w:styleId="ccitao" w:customStyle="1">
    <w:name w:val="c) citação"/>
    <w:basedOn w:val="atexto-base"/>
    <w:qFormat/>
    <w:rsid w:val="00c87137"/>
    <w:pPr>
      <w:spacing w:lineRule="auto" w:line="240" w:before="0" w:after="360"/>
      <w:ind w:start="2268"/>
      <w:contextualSpacing/>
    </w:pPr>
    <w:rPr>
      <w:sz w:val="20"/>
      <w:szCs w:val="20"/>
    </w:rPr>
  </w:style>
  <w:style w:type="paragraph" w:styleId="1ttulonivel1" w:customStyle="1">
    <w:name w:val="1) título nivel 1"/>
    <w:basedOn w:val="atexto-base"/>
    <w:next w:val="atexto-base"/>
    <w:qFormat/>
    <w:rsid w:val="007959b6"/>
    <w:pPr>
      <w:pageBreakBefore/>
      <w:outlineLvl w:val="0"/>
    </w:pPr>
    <w:rPr>
      <w:b/>
      <w:caps/>
    </w:rPr>
  </w:style>
  <w:style w:type="paragraph" w:styleId="2ttulonivel2" w:customStyle="1">
    <w:name w:val="2) título nivel 2"/>
    <w:basedOn w:val="1ttulonivel1"/>
    <w:qFormat/>
    <w:rsid w:val="009a5a33"/>
    <w:pPr>
      <w:keepNext w:val="true"/>
      <w:pageBreakBefore w:val="false"/>
    </w:pPr>
    <w:rPr>
      <w:b w:val="false"/>
    </w:rPr>
  </w:style>
  <w:style w:type="paragraph" w:styleId="dcapa" w:customStyle="1">
    <w:name w:val="d) capa"/>
    <w:basedOn w:val="Normal"/>
    <w:qFormat/>
    <w:rsid w:val="00d26ac7"/>
    <w:pPr>
      <w:widowControl w:val="false"/>
      <w:jc w:val="center"/>
    </w:pPr>
    <w:rPr>
      <w:sz w:val="28"/>
      <w:szCs w:val="28"/>
    </w:rPr>
  </w:style>
  <w:style w:type="paragraph" w:styleId="ecapadescrio" w:customStyle="1">
    <w:name w:val="e) capa descrição"/>
    <w:basedOn w:val="dcapa"/>
    <w:qFormat/>
    <w:rsid w:val="00d963b3"/>
    <w:pPr>
      <w:ind w:start="4536"/>
      <w:jc w:val="start"/>
    </w:pPr>
    <w:rPr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ab6b6f"/>
    <w:pPr>
      <w:tabs>
        <w:tab w:val="clear" w:pos="720"/>
        <w:tab w:val="right" w:pos="9072" w:leader="dot"/>
      </w:tabs>
      <w:spacing w:before="0" w:after="360"/>
    </w:pPr>
    <w:rPr>
      <w:b/>
      <w:caps/>
    </w:rPr>
  </w:style>
  <w:style w:type="paragraph" w:styleId="TOC2">
    <w:name w:val="toc 2"/>
    <w:basedOn w:val="TOC1"/>
    <w:next w:val="Normal"/>
    <w:autoRedefine/>
    <w:uiPriority w:val="39"/>
    <w:unhideWhenUsed/>
    <w:rsid w:val="004642ac"/>
    <w:pPr>
      <w:spacing w:before="0" w:after="360"/>
      <w:contextualSpacing/>
    </w:pPr>
    <w:rPr>
      <w:b w:val="false"/>
      <w:caps w:val="false"/>
      <w:smallCaps w:val="false"/>
    </w:rPr>
  </w:style>
  <w:style w:type="paragraph" w:styleId="fResumoReferncias" w:customStyle="1">
    <w:name w:val="f) Resumo/Referências"/>
    <w:basedOn w:val="atexto-base"/>
    <w:qFormat/>
    <w:rsid w:val="00bb7815"/>
    <w:pPr>
      <w:spacing w:lineRule="auto" w:line="240"/>
    </w:pPr>
    <w:rPr/>
  </w:style>
  <w:style w:type="numbering" w:styleId="Semlistauser" w:default="1">
    <w:name w:val="Sem lista (user)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B29BB4-7A73-4CD1-BECD-EA154FF092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256</TotalTime>
  <Application>LibreOffice/26.2.3.2$Linux_X86_64 LibreOffice_project/620$Build-2</Application>
  <AppVersion>15.0000</AppVersion>
  <Pages>11</Pages>
  <Words>1553</Words>
  <Characters>8904</Characters>
  <CharactersWithSpaces>10386</CharactersWithSpaces>
  <Paragraphs>77</Paragraphs>
  <Company>Fernanda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2023-03-20T13:49:00Z</dcterms:created>
  <dc:creator>Fernanda D Olivo</dc:creator>
  <dc:description/>
  <dc:language>pt-BR</dc:language>
  <cp:lastModifiedBy/>
  <dcterms:modified xsi:type="dcterms:W3CDTF">2026-09-28T13:47:12Z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