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ST1630 — Sistemas Intensivos en Datos</w:t>
        <w:br/>
      </w:r>
    </w:p>
    <w:p>
      <w:pPr>
        <w:jc w:val="center"/>
      </w:pPr>
      <w:r>
        <w:rPr>
          <w:b/>
          <w:sz w:val="40"/>
        </w:rPr>
        <w:t>PROYECTO FINAL · PULSO MEDELLÍN</w:t>
        <w:br/>
      </w:r>
    </w:p>
    <w:p>
      <w:pPr>
        <w:jc w:val="center"/>
      </w:pPr>
      <w:r>
        <w:rPr>
          <w:sz w:val="26"/>
        </w:rPr>
        <w:t>Informe de Evidencias — Sistema de Datos Híbrido</w:t>
        <w:br/>
        <w:t>para la Movilidad Urbana del Valle de Aburrá</w:t>
      </w:r>
    </w:p>
    <w:p/>
    <w:p>
      <w:pPr>
        <w:jc w:val="center"/>
      </w:pPr>
      <w:r>
        <w:t>Universidad EAFIT · 2026</w:t>
        <w:br/>
        <w:t>Equipo: Pulso Medellín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Pulso Medellín es un sistema de datos híbrido que integra seis fuentes públicas de movilidad del Área Metropolitana del Valle de Aburrá (MEData, SIATA, Metro, SIMM, EnCicla y GeoMedellín) en una plataforma de doble camino: (1) un Lakehouse Medallion (Bronze → Silver → Gold sobre Apache Iceberg + MinIO) para preguntas analíticas históricas, y (2) un pipeline de streaming (Kafka + Apache Flink + MongoDB) para preguntas operacionales en tiempo real. El sistema corre completamente en Docker Compose y se orquesta con un único comando 'make all'.</w:t>
      </w:r>
    </w:p>
    <w:p/>
    <w:p>
      <w:pPr>
        <w:pStyle w:val="Heading2"/>
      </w:pPr>
      <w:r>
        <w:t>Cobertura de la Rúbrica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Pts</w:t>
            </w:r>
          </w:p>
        </w:tc>
      </w:tr>
      <w:tr>
        <w:tc>
          <w:tcPr>
            <w:tcW w:type="dxa" w:w="2880"/>
          </w:tcPr>
          <w:p>
            <w:r>
              <w:t>§4.1</w:t>
            </w:r>
          </w:p>
        </w:tc>
        <w:tc>
          <w:tcPr>
            <w:tcW w:type="dxa" w:w="2880"/>
          </w:tcPr>
          <w:p>
            <w:r>
              <w:t>Descripción del problema y planteamiento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§4.2</w:t>
            </w:r>
          </w:p>
        </w:tc>
        <w:tc>
          <w:tcPr>
            <w:tcW w:type="dxa" w:w="2880"/>
          </w:tcPr>
          <w:p>
            <w:r>
              <w:t>Arquitectura e infraestructura (Docker Compose)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§4.3</w:t>
            </w:r>
          </w:p>
        </w:tc>
        <w:tc>
          <w:tcPr>
            <w:tcW w:type="dxa" w:w="2880"/>
          </w:tcPr>
          <w:p>
            <w:r>
              <w:t>Capa de mensajería — Kafka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§4.4</w:t>
            </w:r>
          </w:p>
        </w:tc>
        <w:tc>
          <w:tcPr>
            <w:tcW w:type="dxa" w:w="2880"/>
          </w:tcPr>
          <w:p>
            <w:r>
              <w:t>Procesamiento en streaming — Apache Flink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§4.5</w:t>
            </w:r>
          </w:p>
        </w:tc>
        <w:tc>
          <w:tcPr>
            <w:tcW w:type="dxa" w:w="2880"/>
          </w:tcPr>
          <w:p>
            <w:r>
              <w:t>Base de datos NoSQL — MongoDB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§4.6</w:t>
            </w:r>
          </w:p>
        </w:tc>
        <w:tc>
          <w:tcPr>
            <w:tcW w:type="dxa" w:w="2880"/>
          </w:tcPr>
          <w:p>
            <w:r>
              <w:t>Pipeline batch — Spark + Lakehouse Iceberg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§4.7</w:t>
            </w:r>
          </w:p>
        </w:tc>
        <w:tc>
          <w:tcPr>
            <w:tcW w:type="dxa" w:w="2880"/>
          </w:tcPr>
          <w:p>
            <w:r>
              <w:t>Integración y consultas analíticas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§4.8</w:t>
            </w:r>
          </w:p>
        </w:tc>
        <w:tc>
          <w:tcPr>
            <w:tcW w:type="dxa" w:w="2880"/>
          </w:tcPr>
          <w:p>
            <w:r>
              <w:t>Calidad del código y documentación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§4.9</w:t>
            </w:r>
          </w:p>
        </w:tc>
        <w:tc>
          <w:tcPr>
            <w:tcW w:type="dxa" w:w="2880"/>
          </w:tcPr>
          <w:p>
            <w:r>
              <w:t>Presentación y demo en vivo</w:t>
            </w:r>
          </w:p>
        </w:tc>
        <w:tc>
          <w:tcPr>
            <w:tcW w:type="dxa" w:w="2880"/>
          </w:tcPr>
          <w:p>
            <w:r>
              <w:t>8 + bonus</w:t>
            </w:r>
          </w:p>
        </w:tc>
      </w:tr>
      <w:tr>
        <w:tc>
          <w:tcPr>
            <w:tcW w:type="dxa" w:w="2880"/>
          </w:tcPr>
          <w:p>
            <w:r>
              <w:t>Bonus</w:t>
            </w:r>
          </w:p>
        </w:tc>
        <w:tc>
          <w:tcPr>
            <w:tcW w:type="dxa" w:w="2880"/>
          </w:tcPr>
          <w:p>
            <w:r>
              <w:t>Trino +2 · Makefile +1 · Spark SS +1 · Notebook +1</w:t>
            </w:r>
          </w:p>
        </w:tc>
        <w:tc>
          <w:tcPr>
            <w:tcW w:type="dxa" w:w="2880"/>
          </w:tcPr>
          <w:p>
            <w:r>
              <w:t>+5</w:t>
            </w:r>
          </w:p>
        </w:tc>
      </w:tr>
    </w:tbl>
    <w:p>
      <w:r>
        <w:br w:type="page"/>
      </w:r>
    </w:p>
    <w:p>
      <w:pPr>
        <w:pStyle w:val="Heading1"/>
      </w:pPr>
      <w:r>
        <w:t>§4.2 — Arquitectura e Infraestructura (12 pts)</w:t>
      </w:r>
    </w:p>
    <w:p>
      <w:pPr>
        <w:pStyle w:val="Heading2"/>
      </w:pPr>
      <w:r>
        <w:t>§4.2.1 — Docker Compose: todos los servicios saludables (5/5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2.1 Docker Compose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5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La siguiente captura muestra el resultado de 'make ps' con los 11 servicios del stack levantados y saludables: Flink JobManager y TaskManager, Iceberg REST Catalog, Kafka, MinIO (healthy), MongoDB (healthy), Spark+Jupyter, Stream-runner, Superset (healthy), Trino (healthy) y Zookeeper. Todos los servicios clave de la rúbrica están presentes y operativos.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make ps: 11 servicios Up (MinIO, MongoDB, Trino y Superset en estado healthy)</w:t>
      </w:r>
    </w:p>
    <w:p/>
    <w:p>
      <w:pPr>
        <w:pStyle w:val="Heading2"/>
      </w:pPr>
      <w:r>
        <w:t>§4.2.2 — Reproducibilidad: make all en un solo comando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2.3 Reproducibilidad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pipeline completo se ejecuta con 'make all', que orquesta en orden: make up → init-namespaces → pipeline-batch → pipeline-legacy → pipeline-sprint5. El README documenta todos los prerequisitos y comandos exactos. No se requiere intervención manual.</w:t>
      </w:r>
    </w:p>
    <w:p>
      <w:r>
        <w:br w:type="page"/>
      </w:r>
    </w:p>
    <w:p>
      <w:pPr>
        <w:pStyle w:val="Heading1"/>
      </w:pPr>
      <w:r>
        <w:t>§4.3 — Capa de Mensajería Kafka (12 pts)</w:t>
      </w:r>
    </w:p>
    <w:p>
      <w:pPr>
        <w:pStyle w:val="Heading2"/>
      </w:pPr>
      <w:r>
        <w:t>§4.3.1 — Productor de eventos SIATA (5/5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3.1 Productor de eventos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5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productor SIATA (src/streaming/producers/siata_producer.py) publica lecturas de calidad del aire PM2.5 al tópico 'siata.lecturas' con esquema JSON claro: {estacion_id, zona, timestamp, pm25, pm10, temperatura, humedad}. El productor inyecta picos sintéticos de PM2.5=95.0 μg/m³ cada N eventos para simular episodios de contaminación crítica, coherente con el dominio de calidad del aire urbano. La captura muestra 600+ eventos enviados en tiempo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1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Productor SIATA: 87,600 lecturas cargadas, picos PM2.5=95.0 inyectados cada 5 eventos</w:t>
      </w:r>
    </w:p>
    <w:p/>
    <w:p>
      <w:pPr>
        <w:pStyle w:val="Heading2"/>
      </w:pPr>
      <w:r>
        <w:t>§4.3.2 — Configuración de tópicos: 2 particiones + retención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3.2 Config de tópicos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script init_kafka_topics.py crea los 4 tópicos del proyecto con configuración explícita: num_partitions=2, retention.ms=604800000 (7 días), cleanup.policy=delete, replication_factor=1. El script es idempotente: si el tópico existe, sincroniza la configuración. Tópicos creados: siata.lecturas, encicla.disponibilidad, metro.validaciones, simm.aforos.</w:t>
      </w:r>
    </w:p>
    <w:p>
      <w:pPr>
        <w:pStyle w:val="Heading2"/>
      </w:pPr>
      <w:r>
        <w:t>§4.3.3 — Observabilidad: offsets y lag visibles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3.3 Observabilidad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La captura muestra el resultado de kafka-consumer-groups para el grupo 'pulsomed-alert-flink'. Se observan: TOPIC=siata.lecturas, PARTITION=0, CURRENT-OFFSET=10134, LOG-END-OFFSET=10246, LAG=112. El lag confirma que mensajes están fluyendo activamente y el consumer del job Flink está procesando con offsets comprometidos.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1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kafka-consumer-groups: group pulsomed-alert-flink con offsets y LAG=112 visible</w:t>
      </w:r>
    </w:p>
    <w:p/>
    <w:p>
      <w:r>
        <w:br w:type="page"/>
      </w:r>
    </w:p>
    <w:p>
      <w:pPr>
        <w:pStyle w:val="Heading1"/>
      </w:pPr>
      <w:r>
        <w:t>§4.4 — Procesamiento en Streaming — Apache Flink (15 pts)</w:t>
      </w:r>
    </w:p>
    <w:p>
      <w:pPr>
        <w:pStyle w:val="Heading2"/>
      </w:pPr>
      <w:r>
        <w:t>§4.4.1 — Consumo de Kafka + job RUNNING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4.1 Consumo de Kafka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job PyFlink 'pulsomed-siata-alert-flink' está conectado al tópico siata.lecturas mediante KafkaSource con deserialización JSON, KafkaOffsetsInitializer.latest() y group-id 'pulsomed-alert-flink'. La captura del Flink UI muestra el job en estado RUNNING con 4 tasks activas y duración superior a 1 hora, demostrando estabilidad en producción.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Flink UI: job pulsomed-siata-alert-flink RUNNING (1h 5m), 4/4 tasks activas</w:t>
      </w:r>
    </w:p>
    <w:p/>
    <w:p>
      <w:pPr>
        <w:pStyle w:val="Heading2"/>
      </w:pPr>
      <w:r>
        <w:t>§4.4.2 — Transformaciones con estado: ventana tumbling (5/5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4.2 Transformaciones con 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5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pipeline Flink implementa: (1) KafkaSource → Map (_parsear_lectura: JSON → (zona, pm25)) → Filter (eliminar nulos) → keyBy(zona) → TumblingProcessingTimeWindows(N minutos) → ProcessWindowFunction (AgregadorVentana). AgregadorVentana calcula: promedio PM2.5, conteo de lecturas, y determina nivel de alerta (CRITICO/ALTO/NORMAL). El grafo muestra dos nodos con paralelismo=2 conectados por HASH partitioning.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Flink Job Graph: KafkaSource → TumblingProcessingTimeWindows → Sink, parallelism=2</w:t>
      </w:r>
    </w:p>
    <w:p/>
    <w:p>
      <w:pPr>
        <w:pStyle w:val="Heading2"/>
      </w:pPr>
      <w:r>
        <w:t>§4.4.3 — Sink hacia NoSQL: escritura en MongoDB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4.3 Sink hacia NoSQL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Los resultados del stream se persisten en MongoDB (colección alertas_aire) mediante la función _escribir_mongo ejecutada en el operador Map posterior a la ventana. El esquema almacenado incluye: zona, pm25_promedio, ventana_inicio, ventana_fin, lecturas_en_ventana, gravedad, emitido_en. Se crea un índice único (zona, ventana_inicio) para evitar duplicados.</w:t>
      </w:r>
    </w:p>
    <w:p>
      <w:pPr>
        <w:pStyle w:val="Heading2"/>
      </w:pPr>
      <w:r>
        <w:t>§4.4.4 — Semántica de entrega: checkpointing AT_LEAST_ONCE (2/2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4.4 Semántica de entrega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2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job configura checkpointing AT_LEAST_ONCE con intervalo de 60 segundos, min_pause_between_checkpoints=30s, timeout=120s, max_concurrent=1. Backend: hashmap con almacenamiento en volumen flink-checkpoints. La captura muestra 13 checkpoints completados con 0 fallidos, duración end-to-end de 13ms y datos checkpointed de 4.70 KB.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Flink Checkpoints: 13 completados, 0 fallidos, aligned checkpoint AT_LEAST_ONCE</w:t>
      </w:r>
    </w:p>
    <w:p/>
    <w:p>
      <w:r>
        <w:br w:type="page"/>
      </w:r>
    </w:p>
    <w:p>
      <w:pPr>
        <w:pStyle w:val="Heading1"/>
      </w:pPr>
      <w:r>
        <w:t>§4.5 — Base de Datos NoSQL — MongoDB (12 pts)</w:t>
      </w:r>
    </w:p>
    <w:p>
      <w:pPr>
        <w:pStyle w:val="Heading2"/>
      </w:pPr>
      <w:r>
        <w:t>§4.5.1 — Justificación del modelo NoSQL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5.1 Justificación del modelo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MongoDB fue elegido sobre SQL por tres razones concretas del dominio: (1) Esquema flexible: las alertas de aire tienen campos variables según la zona y los umbrales configurados — un esquema rígido SQL requeriría ALTER TABLE frecuentes. (2) Acceso por clave primaria: las consultas operacionales buscan por zona+ventana_inicio, patrón ideal para documentos MongoDB vs. full-scan en SQL. (3) Baja latencia de escritura: el sink Flink escribe en &lt;5ms por alerta, mientras que un INSERT SQL transaccional con índices tomaría 10-50ms. La decisión está documentada en docs/decisiones/02-lambda-vs-kappa.md.</w:t>
      </w:r>
    </w:p>
    <w:p>
      <w:pPr>
        <w:pStyle w:val="Heading2"/>
      </w:pPr>
      <w:r>
        <w:t>§4.5.2 — Consultas operacionales (5/5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5.2 Consultas operacionales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5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La CLI 'make stream-alertas' ejecuta consultar_alertas.py con filtros por zona, gravedad y ventana temporal (--ultimas 60min). La consulta usa un índice en emitido_en para acceso O(log n). La captura muestra 3 alertas PM2.5 en la última hora: ESP_ARANJUEZ (critica, 92.3 μg/m³), ESP_LAURELES (critica, 95.0 μg/m³), ESP_LAURELES (alta, 88.7 μg/m³) — todas superando el umbral OMS de 75 μg/m³.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make stream-alertas: 3 alertas PM2.5 con zona, gravedad, pm25_avg y ventana temporal</w:t>
      </w:r>
    </w:p>
    <w:p/>
    <w:p>
      <w:pPr>
        <w:pStyle w:val="Heading2"/>
      </w:pPr>
      <w:r>
        <w:t>§4.5.3 — Diferencia con SQL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5.3 Diferencia con SQL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MongoDB se usa para preguntas OPERACIONALES (latencia &lt; 10ms, cardinalidad baja, ventana de tiempo reciente): ¿cuáles zonas superaron el umbral PM2.5 en los últimos 10 minutos? ¿cuántas lecturas llegaron en la última ventana? Gold/Trino se usa para preguntas ANALÍTICAS (alta cardinalidad, joins multi-fuente, agregaciones históricas): ¿cuál es la correlación entre PM2.5 y afluencia Metro por mes y línea en los últimos 3 años? Las dos capas son complementarias, no competidoras.</w:t>
      </w:r>
    </w:p>
    <w:p>
      <w:r>
        <w:br w:type="page"/>
      </w:r>
    </w:p>
    <w:p>
      <w:pPr>
        <w:pStyle w:val="Heading1"/>
      </w:pPr>
      <w:r>
        <w:t>§4.6 — Pipeline Batch — Spark + Lakehouse Iceberg (15 pts)</w:t>
      </w:r>
    </w:p>
    <w:p>
      <w:pPr>
        <w:pStyle w:val="Heading2"/>
      </w:pPr>
      <w:r>
        <w:t>§4.6.1 — Capa Bronze: 2+ lotes con metadatos de auditoría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6.1 Capa Bronze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Cada una de las 6 fuentes tiene su tabla Bronze en el catálogo Iceberg (demo.pulsomed.bronze.*). Todas las tablas usan append mode (nunca overwrite), garantizando historial de lotes. El helper escribir_bronze añade automáticamente columnas de auditoría: timestamp_ingesta, nombre_archivo, fuente_id, lote_id. La demo demo_iceberg_features.py ejecutó 2 lotes explícitos sobre una tabla de prueba, generando 2 snapshots verificables con snapshot_id, committed_at y added_records. Resultados: Bronze MEData: 270,765 filas | SIATA: 87,600 | Metro: 87,680 | SIMM: 374,900 | EnCicla: 13,776 | GeoMedellín: 21 polígonos.</w:t>
      </w:r>
    </w:p>
    <w:p>
      <w:pPr>
        <w:pStyle w:val="Heading2"/>
      </w:pPr>
      <w:r>
        <w:t>§4.6.2 — Capa Silver: joins, nulos y columnas calculadas (5/5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6.2 Capa Silver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5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transform_all.py construye 5 tablas Silver: (1) lecturas_aire_validas: filtra pm25 no nulo de Bronze SIATA (261,405 filas). (2) afluencia_horaria: JOIN Metro × clima diario SIATA (263,040 filas). (3) incidentes_geocodificados: deduplica MEData + geocodifica por comunas usando broadcast join con el índice de polígonos GeoMedellín (270,731 filas). (4) viajes_encicla_anonimizados: HMAC-SHA256 sobre id_usuario (13,776 filas). (5) aforos_corredor_geo: geocodifica corredores SIMM (1,499,600 filas).</w:t>
      </w:r>
    </w:p>
    <w:p>
      <w:pPr>
        <w:pStyle w:val="Heading2"/>
      </w:pPr>
      <w:r>
        <w:t>§4.6.3 — Capa Gold: responde preguntas batch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6.3 Capa Gold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build_all.py construye 5 tablas Gold que responden directamente las preguntas analíticas: B-1 afluencia_vs_pm25: correlación PM2.5 × afluencia Metro por línea y mes (144 filas). B-2 accidentalidad_por_comuna: índice de severidad por comuna y año (220 filas). B-3 demanda_encicla_vs_clima: viajes EnCicla vs temperatura y lluvia (180 filas). B-4 corredores_riesgo_compuesto: ranking multicriterio de comunas (16 filas). Bonus: percentiles_metro (24 filas) + ml_fatalidad_evaluacion + red_metro_pagerank (34 estaciones) + red_metro_rutas_optimas (1,122 pares).</w:t>
      </w:r>
    </w:p>
    <w:p>
      <w:pPr>
        <w:pStyle w:val="Heading2"/>
      </w:pPr>
      <w:r>
        <w:t>§4.6.4 — Features Iceberg: ACID + Time Travel + Schema Evolution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6.4 Features Iceberg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script demo_iceberg_features.py demostró los 3 features requeridos: (1) ACID: Lote 1 INSERT atómico → snapshot 9205941556654181711 (3 filas). Lote 2 append acumulativo → snapshot 3085975384652763057 (6 filas totales). (2) Time Travel: spark.read.option('snapshot-id', snap1) devolvió exactamente 3 filas del lote 1, verificando historial sin pérdida. (3) Schema Evolution: ALTER TABLE ADD COLUMN observacion STRING — filas antiguas devuelven NULL, filas nuevas pobladas con el valor — sin reescritura de datos. La tabla de snapshots mostró operation=append, committed_at y added_records para cada lote.</w:t>
      </w:r>
    </w:p>
    <w:p>
      <w:r>
        <w:br w:type="page"/>
      </w:r>
    </w:p>
    <w:p>
      <w:pPr>
        <w:pStyle w:val="Heading1"/>
      </w:pPr>
      <w:r>
        <w:t>§4.7 — Integración y Consultas Analíticas (10 pts)</w:t>
      </w:r>
    </w:p>
    <w:p>
      <w:pPr>
        <w:pStyle w:val="Heading2"/>
      </w:pPr>
      <w:r>
        <w:t>§4.7.1 — Coherencia entre caminos batch y streaming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7.1 Coherencia entre caminos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job híbrido (job_hibrido.py, §4.3 de la propuesta) cruza ambos caminos: lee gold.percentiles_metro (batch, PyIceberg en vivo) y compara con la afluencia actual del tópico metro.validaciones (streaming). Genera alerta híbrida cuando la afluencia cae por debajo del p50 histórico Y está lloviendo (pm25 elevado). Esto responde: '¿La lluvia actual está reduciendo la afluencia Metro por debajo de lo históricamente esperado para esta franja horaria?' — pregunta imposible de responder con solo un camino.</w:t>
      </w:r>
    </w:p>
    <w:p>
      <w:pPr>
        <w:pStyle w:val="Heading2"/>
      </w:pPr>
      <w:r>
        <w:t>§4.7.2 — 5+ Queries sobre Gold con interpretación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7.2 Queries sobre Gold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notebook 01_eda_gold.ipynb ejecuta 4 análisis sobre tablas Gold con interpretación de negocio en cada uno:</w:t>
      </w:r>
    </w:p>
    <w:p>
      <w:pPr>
        <w:pStyle w:val="ListBullet"/>
      </w:pPr>
      <w:r>
        <w:t>B-1: Correlación PM2.5/pasajeros por línea Metro — La línea K (cable) muestra mayor correlación (0.037) que la A (0.034), sugiriendo mayor sensibilidad al clima en las líneas de cable del sistema.</w:t>
      </w:r>
    </w:p>
    <w:p>
      <w:pPr>
        <w:pStyle w:val="ListBullet"/>
      </w:pPr>
      <w:r>
        <w:t>B-2: Accidentalidad por comuna 2020 — La Candelaria (índice 2329.9) es 2.3x más peligrosa que Castilla (1032.6), con 30 muertos vs 10. El centro histórico concentra el mayor riesgo vial.</w:t>
      </w:r>
    </w:p>
    <w:p>
      <w:pPr>
        <w:pStyle w:val="ListBullet"/>
      </w:pPr>
      <w:r>
        <w:t>B-3: Demanda EnCicla — Promedio de 76.5 viajes/día con datos sintéticos. La lógica de bin_temperatura está implementada para datos reales.</w:t>
      </w:r>
    </w:p>
    <w:p>
      <w:pPr>
        <w:pStyle w:val="ListBullet"/>
      </w:pPr>
      <w:r>
        <w:t>B-4: Riesgo compuesto — Comunas 10 (La Candelaria), 11 (Laureles-Estadio) y 5 (Castilla) encabezan el ranking multicriterio que cruza vehiculos, muertos y heridos con score ponderado.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B-1: Correlación PM2.5/pasajeros por línea Metro (A, B, J, 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B-2: Índice de severidad vial por comuna · 2020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B-4: Top 15 comunas por riesgo compuesto (menor=peor)</w:t>
      </w:r>
    </w:p>
    <w:p/>
    <w:p>
      <w:pPr>
        <w:pStyle w:val="Heading2"/>
      </w:pPr>
      <w:r>
        <w:t>§4.7.3 — Trino como tercer motor SQL (Bonus +2 pts)</w:t>
      </w:r>
    </w:p>
    <w:p>
      <w:r>
        <w:t>make trino-demo ejecuta queries sobre Gold vía Trino CLI (motor SQL adicional a Spark y Spark SQL). Las queries demuestran: (1) PageRank Metro: Acevedo (0.042) es la estación más central, seguida de San Antonio (0.040) y Sabaneta (0.034). (2) Accidentalidad histórica: La Candelaria concentra 9,793 incidentes en 2015 con 5,369 heridos — el año más crítico del período analizado.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Trino CLI: PageRank Metro (top 10) + accidentalidad por comuna (bonus +2 pts)</w:t>
      </w:r>
    </w:p>
    <w:p/>
    <w:p>
      <w:r>
        <w:br w:type="page"/>
      </w:r>
    </w:p>
    <w:p>
      <w:pPr>
        <w:pStyle w:val="Heading1"/>
      </w:pPr>
      <w:r>
        <w:t>§4.8 — Calidad del Código y Documentación (5 pts)</w:t>
      </w:r>
    </w:p>
    <w:p>
      <w:pPr>
        <w:pStyle w:val="Heading2"/>
      </w:pPr>
      <w:r>
        <w:t>§4.8.1 — README y documentación (2/2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8.1 README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2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README.md documenta: prerequisitos (Docker, Python 3.x en host), configuración (.env desde .env.example), comandos exactos por sprint (make up, make all, make cumplimiento-rubrica), descripción de cada capa Bronze/Silver/Gold con sus tablas, tópicos Kafka con esquemas JSON, y URLs de todas las UIs (MinIO :9001, Spark :8080, Jupyter :8888, Flink :8082, Trino :8084, Superset :8088, Dashboard :8501). Además cada sprint tiene su .md en docs/sprints/ y las decisiones arquitectónicas en docs/decisiones/ (7 ADRs).</w:t>
      </w:r>
    </w:p>
    <w:p>
      <w:pPr>
        <w:pStyle w:val="Heading2"/>
      </w:pPr>
      <w:r>
        <w:t>§4.8.2 — Código limpio sin hardcodes (3/3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8.2 Código limpio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3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Toda la configuración vive en variables de entorno (.env) y en src/shared/config.py como única fuente de verdad. Ningún script hardcodea rutas, credenciales, IPs o nombres de tabla. Los scripts están separados por capa: src/batch/{bronze,silver,gold}/, src/streaming/{producers,flink_real,structured}/, src/legacy/. Incluso docker/trino/etc/catalog/iceberg.properties usa ${ENV:VAR} para credenciales MinIO.</w:t>
      </w:r>
    </w:p>
    <w:p>
      <w:r>
        <w:br w:type="page"/>
      </w:r>
    </w:p>
    <w:p>
      <w:pPr>
        <w:pStyle w:val="Heading1"/>
      </w:pPr>
      <w:r>
        <w:t>§4.9 — Presentación y Demo en Vivo (8 pts)</w:t>
      </w:r>
    </w:p>
    <w:p>
      <w:pPr>
        <w:pStyle w:val="Heading2"/>
      </w:pPr>
      <w:r>
        <w:t>§4.9.1 — Demo funcional: ambos caminos sin intervención manual (4/4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Criterio: 9.1 Demo funcional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Puntos: 4 pts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Nivel esperado: EXCELENTE</w:t>
            </w:r>
          </w:p>
        </w:tc>
      </w:tr>
    </w:tbl>
    <w:p/>
    <w:p>
      <w:r>
        <w:t>El camino batch corre completamente con 'make all' (Bronze→Silver→Gold, pipeline legacy MapReduce, MLlib y grafo Metro). El camino streaming corre con 'make cumplimiento-rubrica' + 'make flink-submit-alert' (Kafka topics + Flink job RUNNING). El dashboard Streamlit en http://localhost:8501 muestra en tiempo real las 5 preguntas operacionales (S-1..S-4 + híbrido). Los resultados son visibles simultáneamente en MongoDB (alertas_aire) y en las tablas Gold de Iceberg.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Flink UI: job RUNNING estable por más de 1 hora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Dashboard Streamlit: 5 paneles operacionales en tiempo real</w:t>
      </w:r>
    </w:p>
    <w:p/>
    <w:p>
      <w:pPr>
        <w:pStyle w:val="Heading2"/>
      </w:pPr>
      <w:r>
        <w:t>§4.9.2 — Defensa técnica</w:t>
      </w:r>
    </w:p>
    <w:p>
      <w:r>
        <w:t>El equipo puede justificar cada decisión tecnológica con referencia a un ADR o a la propuesta. Ejemplos de preguntas que se pueden responder: (1) '¿Por qué Iceberg y no Delta?' → ADR 05: ACID nativo, Time Travel sin dependencia de Spark, compatibilidad con Trino y PyIceberg. (2) '¿Qué pasa si los eventos llegan desordenados?' → El job Flink usa TumblingProcessingTimeWindows (tiempo de procesamiento, no evento), por lo que el orden de llegada no afecta la correctness de la ventana. (3) '¿Por qué MongoDB y no Cassandra?' → ADR 02: esquema flexible para alertas con campos variables, API más simple para el equipo, suficiente para la cardinalidad del proyecto (&lt; 10,000 alertas/día).</w:t>
      </w:r>
    </w:p>
    <w:p>
      <w:r>
        <w:br w:type="page"/>
      </w:r>
    </w:p>
    <w:p>
      <w:pPr>
        <w:pStyle w:val="Heading1"/>
      </w:pPr>
      <w:r>
        <w:t>Bonificaciones (+5 pts)</w:t>
      </w:r>
    </w:p>
    <w:p>
      <w:pPr>
        <w:pStyle w:val="Heading2"/>
      </w:pPr>
      <w:r>
        <w:t>Trino +2 pts</w:t>
      </w:r>
    </w:p>
    <w:p>
      <w:r>
        <w:t>Motor SQL adicional sobre capa Gold. make trino-demo ejecuta queries sobre red_metro_pagerank y accidentalidad_por_comuna directamente desde el CLI de Trino sin pasar por Spark.</w:t>
      </w:r>
    </w:p>
    <w:p>
      <w:pPr>
        <w:pStyle w:val="Heading2"/>
      </w:pPr>
      <w:r>
        <w:t>Makefile orquestado +1 pt</w:t>
      </w:r>
    </w:p>
    <w:p>
      <w:r>
        <w:t>Un solo comando 'make all' ejecuta Bronze→Silver→Gold→ML→Grafo. 'make cumplimiento-rubrica' cierra los gaps de rúbrica. El Makefile tiene 60+ targets documentados con '## descripción'.</w:t>
      </w:r>
    </w:p>
    <w:p>
      <w:pPr>
        <w:pStyle w:val="Heading2"/>
      </w:pPr>
      <w:r>
        <w:t>Spark Structured Streaming +1 pt</w:t>
      </w:r>
    </w:p>
    <w:p>
      <w:r>
        <w:t>src/streaming/structured/siata_a_iceberg_streaming.py lee el tópico siata.lecturas con readStream, procesa micro-batches cada 30s y escribe a bronze.siata_streaming en Iceberg con metadatos Kafka (kafka_offset, kafka_partition). Complementa Flink sin competir con él.</w:t>
      </w:r>
    </w:p>
    <w:p>
      <w:pPr>
        <w:pStyle w:val="Heading2"/>
      </w:pPr>
      <w:r>
        <w:t>Jupyter Notebook +1 pt</w:t>
      </w:r>
    </w:p>
    <w:p>
      <w:r>
        <w:t>01_eda_gold.ipynb analiza las 4 tablas Gold con visualizaciones matplotlib. 02_ml_fatalidad.ipynb muestra el pipeline MLlib completo. 03_eda_completo.ipynb hace EDA cruzado entre fuentes.</w:t>
      </w:r>
    </w:p>
    <w:p>
      <w:r>
        <w:br w:type="page"/>
      </w:r>
    </w:p>
    <w:p>
      <w:pPr>
        <w:pStyle w:val="Heading1"/>
      </w:pPr>
      <w:r>
        <w:t>Apéndice — Inventario de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Figura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2880"/>
          </w:tcPr>
          <w:p>
            <w:r>
              <w:t>Fig 1</w:t>
            </w:r>
          </w:p>
        </w:tc>
        <w:tc>
          <w:tcPr>
            <w:tcW w:type="dxa" w:w="2880"/>
          </w:tcPr>
          <w:p>
            <w:r>
              <w:t>make ps — 11 contenedores Up/healthy</w:t>
            </w:r>
          </w:p>
        </w:tc>
        <w:tc>
          <w:tcPr>
            <w:tcW w:type="dxa" w:w="2880"/>
          </w:tcPr>
          <w:p>
            <w:r>
              <w:t>§4.2.1</w:t>
            </w:r>
          </w:p>
        </w:tc>
      </w:tr>
      <w:tr>
        <w:tc>
          <w:tcPr>
            <w:tcW w:type="dxa" w:w="2880"/>
          </w:tcPr>
          <w:p>
            <w:r>
              <w:t>Fig 2</w:t>
            </w:r>
          </w:p>
        </w:tc>
        <w:tc>
          <w:tcPr>
            <w:tcW w:type="dxa" w:w="2880"/>
          </w:tcPr>
          <w:p>
            <w:r>
              <w:t>Productor SIATA — 600+ eventos PM2.5=95.0</w:t>
            </w:r>
          </w:p>
        </w:tc>
        <w:tc>
          <w:tcPr>
            <w:tcW w:type="dxa" w:w="2880"/>
          </w:tcPr>
          <w:p>
            <w:r>
              <w:t>§4.3.1</w:t>
            </w:r>
          </w:p>
        </w:tc>
      </w:tr>
      <w:tr>
        <w:tc>
          <w:tcPr>
            <w:tcW w:type="dxa" w:w="2880"/>
          </w:tcPr>
          <w:p>
            <w:r>
              <w:t>Fig 3</w:t>
            </w:r>
          </w:p>
        </w:tc>
        <w:tc>
          <w:tcPr>
            <w:tcW w:type="dxa" w:w="2880"/>
          </w:tcPr>
          <w:p>
            <w:r>
              <w:t>kafka-consumer-groups — offsets + LAG=112</w:t>
            </w:r>
          </w:p>
        </w:tc>
        <w:tc>
          <w:tcPr>
            <w:tcW w:type="dxa" w:w="2880"/>
          </w:tcPr>
          <w:p>
            <w:r>
              <w:t>§4.3.3</w:t>
            </w:r>
          </w:p>
        </w:tc>
      </w:tr>
      <w:tr>
        <w:tc>
          <w:tcPr>
            <w:tcW w:type="dxa" w:w="2880"/>
          </w:tcPr>
          <w:p>
            <w:r>
              <w:t>Fig 4</w:t>
            </w:r>
          </w:p>
        </w:tc>
        <w:tc>
          <w:tcPr>
            <w:tcW w:type="dxa" w:w="2880"/>
          </w:tcPr>
          <w:p>
            <w:r>
              <w:t>Flink UI Running Jobs — RUNNING 1h+</w:t>
            </w:r>
          </w:p>
        </w:tc>
        <w:tc>
          <w:tcPr>
            <w:tcW w:type="dxa" w:w="2880"/>
          </w:tcPr>
          <w:p>
            <w:r>
              <w:t>§4.4.1</w:t>
            </w:r>
          </w:p>
        </w:tc>
      </w:tr>
      <w:tr>
        <w:tc>
          <w:tcPr>
            <w:tcW w:type="dxa" w:w="2880"/>
          </w:tcPr>
          <w:p>
            <w:r>
              <w:t>Fig 5</w:t>
            </w:r>
          </w:p>
        </w:tc>
        <w:tc>
          <w:tcPr>
            <w:tcW w:type="dxa" w:w="2880"/>
          </w:tcPr>
          <w:p>
            <w:r>
              <w:t>Flink Job Graph — ventana tumbling + parallelism=2</w:t>
            </w:r>
          </w:p>
        </w:tc>
        <w:tc>
          <w:tcPr>
            <w:tcW w:type="dxa" w:w="2880"/>
          </w:tcPr>
          <w:p>
            <w:r>
              <w:t>§4.4.2</w:t>
            </w:r>
          </w:p>
        </w:tc>
      </w:tr>
      <w:tr>
        <w:tc>
          <w:tcPr>
            <w:tcW w:type="dxa" w:w="2880"/>
          </w:tcPr>
          <w:p>
            <w:r>
              <w:t>Fig 6</w:t>
            </w:r>
          </w:p>
        </w:tc>
        <w:tc>
          <w:tcPr>
            <w:tcW w:type="dxa" w:w="2880"/>
          </w:tcPr>
          <w:p>
            <w:r>
              <w:t>Flink Checkpoints — 13 completados, AT_LEAST_ONCE</w:t>
            </w:r>
          </w:p>
        </w:tc>
        <w:tc>
          <w:tcPr>
            <w:tcW w:type="dxa" w:w="2880"/>
          </w:tcPr>
          <w:p>
            <w:r>
              <w:t>§4.4.4</w:t>
            </w:r>
          </w:p>
        </w:tc>
      </w:tr>
      <w:tr>
        <w:tc>
          <w:tcPr>
            <w:tcW w:type="dxa" w:w="2880"/>
          </w:tcPr>
          <w:p>
            <w:r>
              <w:t>Fig 7</w:t>
            </w:r>
          </w:p>
        </w:tc>
        <w:tc>
          <w:tcPr>
            <w:tcW w:type="dxa" w:w="2880"/>
          </w:tcPr>
          <w:p>
            <w:r>
              <w:t>make stream-alertas — 3 alertas PM2.5 critica/alta</w:t>
            </w:r>
          </w:p>
        </w:tc>
        <w:tc>
          <w:tcPr>
            <w:tcW w:type="dxa" w:w="2880"/>
          </w:tcPr>
          <w:p>
            <w:r>
              <w:t>§4.5.2</w:t>
            </w:r>
          </w:p>
        </w:tc>
      </w:tr>
      <w:tr>
        <w:tc>
          <w:tcPr>
            <w:tcW w:type="dxa" w:w="2880"/>
          </w:tcPr>
          <w:p>
            <w:r>
              <w:t>Fig 8</w:t>
            </w:r>
          </w:p>
        </w:tc>
        <w:tc>
          <w:tcPr>
            <w:tcW w:type="dxa" w:w="2880"/>
          </w:tcPr>
          <w:p>
            <w:r>
              <w:t>Notebook B-1 — correlación PM2.5/pasajeros por línea</w:t>
            </w:r>
          </w:p>
        </w:tc>
        <w:tc>
          <w:tcPr>
            <w:tcW w:type="dxa" w:w="2880"/>
          </w:tcPr>
          <w:p>
            <w:r>
              <w:t>§4.7.2</w:t>
            </w:r>
          </w:p>
        </w:tc>
      </w:tr>
      <w:tr>
        <w:tc>
          <w:tcPr>
            <w:tcW w:type="dxa" w:w="2880"/>
          </w:tcPr>
          <w:p>
            <w:r>
              <w:t>Fig 9</w:t>
            </w:r>
          </w:p>
        </w:tc>
        <w:tc>
          <w:tcPr>
            <w:tcW w:type="dxa" w:w="2880"/>
          </w:tcPr>
          <w:p>
            <w:r>
              <w:t>Notebook B-2 — accidentalidad por comuna 2020</w:t>
            </w:r>
          </w:p>
        </w:tc>
        <w:tc>
          <w:tcPr>
            <w:tcW w:type="dxa" w:w="2880"/>
          </w:tcPr>
          <w:p>
            <w:r>
              <w:t>§4.7.2</w:t>
            </w:r>
          </w:p>
        </w:tc>
      </w:tr>
      <w:tr>
        <w:tc>
          <w:tcPr>
            <w:tcW w:type="dxa" w:w="2880"/>
          </w:tcPr>
          <w:p>
            <w:r>
              <w:t>Fig 10</w:t>
            </w:r>
          </w:p>
        </w:tc>
        <w:tc>
          <w:tcPr>
            <w:tcW w:type="dxa" w:w="2880"/>
          </w:tcPr>
          <w:p>
            <w:r>
              <w:t>Notebook B-4 — corredores de riesgo compuesto</w:t>
            </w:r>
          </w:p>
        </w:tc>
        <w:tc>
          <w:tcPr>
            <w:tcW w:type="dxa" w:w="2880"/>
          </w:tcPr>
          <w:p>
            <w:r>
              <w:t>§4.7.2</w:t>
            </w:r>
          </w:p>
        </w:tc>
      </w:tr>
      <w:tr>
        <w:tc>
          <w:tcPr>
            <w:tcW w:type="dxa" w:w="2880"/>
          </w:tcPr>
          <w:p>
            <w:r>
              <w:t>Fig 11</w:t>
            </w:r>
          </w:p>
        </w:tc>
        <w:tc>
          <w:tcPr>
            <w:tcW w:type="dxa" w:w="2880"/>
          </w:tcPr>
          <w:p>
            <w:r>
              <w:t>Trino CLI — PageRank Metro + accidentalidad</w:t>
            </w:r>
          </w:p>
        </w:tc>
        <w:tc>
          <w:tcPr>
            <w:tcW w:type="dxa" w:w="2880"/>
          </w:tcPr>
          <w:p>
            <w:r>
              <w:t>§4.7.2 + Bonus</w:t>
            </w:r>
          </w:p>
        </w:tc>
      </w:tr>
      <w:tr>
        <w:tc>
          <w:tcPr>
            <w:tcW w:type="dxa" w:w="2880"/>
          </w:tcPr>
          <w:p>
            <w:r>
              <w:t>Fig 12</w:t>
            </w:r>
          </w:p>
        </w:tc>
        <w:tc>
          <w:tcPr>
            <w:tcW w:type="dxa" w:w="2880"/>
          </w:tcPr>
          <w:p>
            <w:r>
              <w:t>Flink UI — job RUNNING estable &gt;1h</w:t>
            </w:r>
          </w:p>
        </w:tc>
        <w:tc>
          <w:tcPr>
            <w:tcW w:type="dxa" w:w="2880"/>
          </w:tcPr>
          <w:p>
            <w:r>
              <w:t>§4.9.1</w:t>
            </w:r>
          </w:p>
        </w:tc>
      </w:tr>
      <w:tr>
        <w:tc>
          <w:tcPr>
            <w:tcW w:type="dxa" w:w="2880"/>
          </w:tcPr>
          <w:p>
            <w:r>
              <w:t>Fig 13</w:t>
            </w:r>
          </w:p>
        </w:tc>
        <w:tc>
          <w:tcPr>
            <w:tcW w:type="dxa" w:w="2880"/>
          </w:tcPr>
          <w:p>
            <w:r>
              <w:t>Dashboard Streamlit — 5 paneles operacionales</w:t>
            </w:r>
          </w:p>
        </w:tc>
        <w:tc>
          <w:tcPr>
            <w:tcW w:type="dxa" w:w="2880"/>
          </w:tcPr>
          <w:p>
            <w:r>
              <w:t>§4.9.1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