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42EE4" w:rsidRDefault="00AC5EAD" w:rsidP="00042EE4">
      <w:pPr>
        <w:pStyle w:val="Ttulo"/>
      </w:pPr>
      <w:r>
        <w:t>Manual -</w:t>
      </w:r>
      <w:r w:rsidR="00042EE4">
        <w:t xml:space="preserve"> Port</w:t>
      </w:r>
      <w:bookmarkStart w:id="0" w:name="_GoBack"/>
      <w:bookmarkEnd w:id="0"/>
      <w:r w:rsidR="00042EE4">
        <w:t>al de Cotação de Fretes</w:t>
      </w:r>
    </w:p>
    <w:p w:rsidR="00042EE4" w:rsidRPr="00042EE4" w:rsidRDefault="00042EE4" w:rsidP="00042EE4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199390</wp:posOffset>
                </wp:positionV>
                <wp:extent cx="5667375" cy="9589"/>
                <wp:effectExtent l="0" t="0" r="28575" b="28575"/>
                <wp:wrapNone/>
                <wp:docPr id="28" name="Conector ret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67375" cy="9589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5723597" id="Conector reto 28" o:spid="_x0000_s1026" style="position:absolute;z-index:2516592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15.7pt" to="446.25pt,16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" strokecolor="black [3213]" strokeweight=".5pt">
                <v:stroke joinstyle="miter"/>
                <w10:wrap anchorx="margin"/>
              </v:line>
            </w:pict>
          </mc:Fallback>
        </mc:AlternateContent>
      </w:r>
    </w:p>
    <w:p w:rsidR="00AA2FA4" w:rsidRDefault="00100764" w:rsidP="00042EE4">
      <w:pPr>
        <w:pStyle w:val="Ttulo"/>
      </w:pPr>
      <w:r>
        <w:t>Fornecedor</w:t>
      </w:r>
    </w:p>
    <w:p w:rsidR="000402DE" w:rsidRDefault="000402DE">
      <w:pPr>
        <w:sectPr w:rsidR="000402DE" w:rsidSect="000402DE">
          <w:pgSz w:w="11906" w:h="16838" w:code="9"/>
          <w:pgMar w:top="1418" w:right="1701" w:bottom="1418" w:left="1701" w:header="709" w:footer="709" w:gutter="0"/>
          <w:cols w:space="708"/>
          <w:vAlign w:val="center"/>
          <w:docGrid w:linePitch="360"/>
        </w:sectPr>
      </w:pPr>
    </w:p>
    <w:sdt>
      <w:sdtPr>
        <w:id w:val="-1669558251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:rsidR="00042EE4" w:rsidRDefault="00042EE4">
          <w:pPr>
            <w:pStyle w:val="CabealhodoSumrio"/>
          </w:pPr>
          <w:r>
            <w:t>Sumário</w:t>
          </w:r>
        </w:p>
        <w:p w:rsidR="00042EE4" w:rsidRDefault="00042EE4">
          <w:pPr>
            <w:pStyle w:val="Sumrio1"/>
            <w:tabs>
              <w:tab w:val="left" w:pos="440"/>
              <w:tab w:val="right" w:leader="dot" w:pos="8494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59402818" w:history="1">
            <w:r w:rsidRPr="00DC23CC">
              <w:rPr>
                <w:rStyle w:val="Hyperlink"/>
                <w:noProof/>
              </w:rPr>
              <w:t>1</w:t>
            </w:r>
            <w:r>
              <w:rPr>
                <w:noProof/>
              </w:rPr>
              <w:tab/>
            </w:r>
            <w:r w:rsidRPr="00DC23CC">
              <w:rPr>
                <w:rStyle w:val="Hyperlink"/>
                <w:noProof/>
              </w:rPr>
              <w:t>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_Toc359402818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42EE4" w:rsidRDefault="00042EE4">
          <w:pPr>
            <w:pStyle w:val="Sumrio2"/>
            <w:tabs>
              <w:tab w:val="left" w:pos="880"/>
              <w:tab w:val="right" w:leader="dot" w:pos="8494"/>
            </w:tabs>
            <w:rPr>
              <w:noProof/>
            </w:rPr>
          </w:pPr>
          <w:hyperlink w:anchor="_Toc359402819" w:history="1">
            <w:r w:rsidRPr="00DC23CC">
              <w:rPr>
                <w:rStyle w:val="Hyperlink"/>
                <w:noProof/>
              </w:rPr>
              <w:t>1.1</w:t>
            </w:r>
            <w:r>
              <w:rPr>
                <w:noProof/>
              </w:rPr>
              <w:tab/>
            </w:r>
            <w:r w:rsidRPr="00DC23CC">
              <w:rPr>
                <w:rStyle w:val="Hyperlink"/>
                <w:noProof/>
              </w:rPr>
              <w:t>Efetuar 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_Toc359402819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42EE4" w:rsidRDefault="00042EE4">
          <w:pPr>
            <w:pStyle w:val="Sumrio2"/>
            <w:tabs>
              <w:tab w:val="left" w:pos="880"/>
              <w:tab w:val="right" w:leader="dot" w:pos="8494"/>
            </w:tabs>
            <w:rPr>
              <w:noProof/>
            </w:rPr>
          </w:pPr>
          <w:hyperlink w:anchor="_Toc359402820" w:history="1">
            <w:r w:rsidRPr="00DC23CC">
              <w:rPr>
                <w:rStyle w:val="Hyperlink"/>
                <w:noProof/>
              </w:rPr>
              <w:t>1.2</w:t>
            </w:r>
            <w:r>
              <w:rPr>
                <w:noProof/>
              </w:rPr>
              <w:tab/>
            </w:r>
            <w:r w:rsidRPr="00DC23CC">
              <w:rPr>
                <w:rStyle w:val="Hyperlink"/>
                <w:noProof/>
              </w:rPr>
              <w:t>Esqueci minha senha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_Toc359402820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42EE4" w:rsidRDefault="00042EE4">
          <w:pPr>
            <w:pStyle w:val="Sumrio2"/>
            <w:tabs>
              <w:tab w:val="left" w:pos="880"/>
              <w:tab w:val="right" w:leader="dot" w:pos="8494"/>
            </w:tabs>
            <w:rPr>
              <w:noProof/>
            </w:rPr>
          </w:pPr>
          <w:hyperlink w:anchor="_Toc359402821" w:history="1">
            <w:r w:rsidRPr="00DC23CC">
              <w:rPr>
                <w:rStyle w:val="Hyperlink"/>
                <w:noProof/>
              </w:rPr>
              <w:t>1.3</w:t>
            </w:r>
            <w:r>
              <w:rPr>
                <w:noProof/>
              </w:rPr>
              <w:tab/>
            </w:r>
            <w:r w:rsidRPr="00DC23CC">
              <w:rPr>
                <w:rStyle w:val="Hyperlink"/>
                <w:noProof/>
              </w:rPr>
              <w:t>Alterar senha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_Toc359402821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42EE4" w:rsidRDefault="00042EE4">
          <w:pPr>
            <w:pStyle w:val="Sumrio1"/>
            <w:tabs>
              <w:tab w:val="left" w:pos="440"/>
              <w:tab w:val="right" w:leader="dot" w:pos="8494"/>
            </w:tabs>
            <w:rPr>
              <w:noProof/>
            </w:rPr>
          </w:pPr>
          <w:hyperlink w:anchor="_Toc359402822" w:history="1">
            <w:r w:rsidRPr="00DC23CC">
              <w:rPr>
                <w:rStyle w:val="Hyperlink"/>
                <w:noProof/>
              </w:rPr>
              <w:t>2</w:t>
            </w:r>
            <w:r>
              <w:rPr>
                <w:noProof/>
              </w:rPr>
              <w:tab/>
            </w:r>
            <w:r w:rsidRPr="00DC23CC">
              <w:rPr>
                <w:rStyle w:val="Hyperlink"/>
                <w:noProof/>
              </w:rPr>
              <w:t>Listagem de Processos de Cotação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_Toc359402822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42EE4" w:rsidRDefault="00042EE4">
          <w:pPr>
            <w:pStyle w:val="Sumrio2"/>
            <w:tabs>
              <w:tab w:val="left" w:pos="880"/>
              <w:tab w:val="right" w:leader="dot" w:pos="8494"/>
            </w:tabs>
            <w:rPr>
              <w:noProof/>
            </w:rPr>
          </w:pPr>
          <w:hyperlink w:anchor="_Toc359402823" w:history="1">
            <w:r w:rsidRPr="00DC23CC">
              <w:rPr>
                <w:rStyle w:val="Hyperlink"/>
                <w:noProof/>
              </w:rPr>
              <w:t>2.1</w:t>
            </w:r>
            <w:r>
              <w:rPr>
                <w:noProof/>
              </w:rPr>
              <w:tab/>
            </w:r>
            <w:r w:rsidRPr="00DC23CC">
              <w:rPr>
                <w:rStyle w:val="Hyperlink"/>
                <w:noProof/>
              </w:rPr>
              <w:t>Filtros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_Toc359402823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42EE4" w:rsidRDefault="00042EE4">
          <w:pPr>
            <w:pStyle w:val="Sumrio2"/>
            <w:tabs>
              <w:tab w:val="left" w:pos="880"/>
              <w:tab w:val="right" w:leader="dot" w:pos="8494"/>
            </w:tabs>
            <w:rPr>
              <w:noProof/>
            </w:rPr>
          </w:pPr>
          <w:hyperlink w:anchor="_Toc359402824" w:history="1">
            <w:r w:rsidRPr="00DC23CC">
              <w:rPr>
                <w:rStyle w:val="Hyperlink"/>
                <w:noProof/>
              </w:rPr>
              <w:t>2.2</w:t>
            </w:r>
            <w:r>
              <w:rPr>
                <w:noProof/>
              </w:rPr>
              <w:tab/>
            </w:r>
            <w:r w:rsidRPr="00DC23CC">
              <w:rPr>
                <w:rStyle w:val="Hyperlink"/>
                <w:noProof/>
              </w:rPr>
              <w:t>Colunas do Grid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_Toc359402824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42EE4" w:rsidRDefault="00042EE4">
          <w:pPr>
            <w:pStyle w:val="Sumrio1"/>
            <w:tabs>
              <w:tab w:val="left" w:pos="440"/>
              <w:tab w:val="right" w:leader="dot" w:pos="8494"/>
            </w:tabs>
            <w:rPr>
              <w:noProof/>
            </w:rPr>
          </w:pPr>
          <w:hyperlink w:anchor="_Toc359402825" w:history="1">
            <w:r w:rsidRPr="00DC23CC">
              <w:rPr>
                <w:rStyle w:val="Hyperlink"/>
                <w:noProof/>
              </w:rPr>
              <w:t>3</w:t>
            </w:r>
            <w:r>
              <w:rPr>
                <w:noProof/>
              </w:rPr>
              <w:tab/>
            </w:r>
            <w:r w:rsidRPr="00DC23CC">
              <w:rPr>
                <w:rStyle w:val="Hyperlink"/>
                <w:noProof/>
              </w:rPr>
              <w:t>Informar Cotações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_Toc359402825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42EE4" w:rsidRDefault="00042EE4">
          <w:pPr>
            <w:pStyle w:val="Sumrio2"/>
            <w:tabs>
              <w:tab w:val="left" w:pos="880"/>
              <w:tab w:val="right" w:leader="dot" w:pos="8494"/>
            </w:tabs>
            <w:rPr>
              <w:noProof/>
            </w:rPr>
          </w:pPr>
          <w:hyperlink w:anchor="_Toc359402826" w:history="1">
            <w:r w:rsidRPr="00DC23CC">
              <w:rPr>
                <w:rStyle w:val="Hyperlink"/>
                <w:noProof/>
              </w:rPr>
              <w:t>3.1</w:t>
            </w:r>
            <w:r>
              <w:rPr>
                <w:noProof/>
              </w:rPr>
              <w:tab/>
            </w:r>
            <w:r w:rsidRPr="00DC23CC">
              <w:rPr>
                <w:rStyle w:val="Hyperlink"/>
                <w:noProof/>
              </w:rPr>
              <w:t>Processo de Cotação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_Toc359402826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42EE4" w:rsidRDefault="00042EE4">
          <w:pPr>
            <w:pStyle w:val="Sumrio2"/>
            <w:tabs>
              <w:tab w:val="left" w:pos="880"/>
              <w:tab w:val="right" w:leader="dot" w:pos="8494"/>
            </w:tabs>
            <w:rPr>
              <w:noProof/>
            </w:rPr>
          </w:pPr>
          <w:hyperlink w:anchor="_Toc359402827" w:history="1">
            <w:r w:rsidRPr="00DC23CC">
              <w:rPr>
                <w:rStyle w:val="Hyperlink"/>
                <w:noProof/>
              </w:rPr>
              <w:t>3.2</w:t>
            </w:r>
            <w:r>
              <w:rPr>
                <w:noProof/>
              </w:rPr>
              <w:tab/>
            </w:r>
            <w:r w:rsidRPr="00DC23CC">
              <w:rPr>
                <w:rStyle w:val="Hyperlink"/>
                <w:noProof/>
              </w:rPr>
              <w:t>Informações Gerais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_Toc359402827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42EE4" w:rsidRDefault="00042EE4">
          <w:pPr>
            <w:pStyle w:val="Sumrio2"/>
            <w:tabs>
              <w:tab w:val="left" w:pos="880"/>
              <w:tab w:val="right" w:leader="dot" w:pos="8494"/>
            </w:tabs>
            <w:rPr>
              <w:noProof/>
            </w:rPr>
          </w:pPr>
          <w:hyperlink w:anchor="_Toc359402828" w:history="1">
            <w:r w:rsidRPr="00DC23CC">
              <w:rPr>
                <w:rStyle w:val="Hyperlink"/>
                <w:noProof/>
              </w:rPr>
              <w:t>3.3</w:t>
            </w:r>
            <w:r>
              <w:rPr>
                <w:noProof/>
              </w:rPr>
              <w:tab/>
            </w:r>
            <w:r w:rsidRPr="00DC23CC">
              <w:rPr>
                <w:rStyle w:val="Hyperlink"/>
                <w:noProof/>
              </w:rPr>
              <w:t>Cotação dos Itens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_Toc359402828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42EE4" w:rsidRDefault="00042EE4">
          <w:pPr>
            <w:pStyle w:val="Sumrio2"/>
            <w:tabs>
              <w:tab w:val="left" w:pos="880"/>
              <w:tab w:val="right" w:leader="dot" w:pos="8494"/>
            </w:tabs>
            <w:rPr>
              <w:noProof/>
            </w:rPr>
          </w:pPr>
          <w:hyperlink w:anchor="_Toc359402829" w:history="1">
            <w:r w:rsidRPr="00DC23CC">
              <w:rPr>
                <w:rStyle w:val="Hyperlink"/>
                <w:noProof/>
              </w:rPr>
              <w:t>3.4</w:t>
            </w:r>
            <w:r>
              <w:rPr>
                <w:noProof/>
              </w:rPr>
              <w:tab/>
            </w:r>
            <w:r w:rsidRPr="00DC23CC">
              <w:rPr>
                <w:rStyle w:val="Hyperlink"/>
                <w:noProof/>
              </w:rPr>
              <w:t>Anexos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_Toc359402829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42EE4" w:rsidRDefault="00042EE4">
          <w:r>
            <w:rPr>
              <w:b/>
              <w:bCs/>
            </w:rPr>
            <w:fldChar w:fldCharType="end"/>
          </w:r>
        </w:p>
      </w:sdtContent>
    </w:sdt>
    <w:p w:rsidR="00042EE4" w:rsidRDefault="00042EE4">
      <w:r>
        <w:br w:type="page"/>
      </w:r>
    </w:p>
    <w:p w:rsidR="0062452F" w:rsidRDefault="0062452F" w:rsidP="000F726C">
      <w:pPr>
        <w:pStyle w:val="Ttulo1"/>
      </w:pPr>
      <w:bookmarkStart w:id="1" w:name="_Toc359402818"/>
      <w:proofErr w:type="spellStart"/>
      <w:r>
        <w:lastRenderedPageBreak/>
        <w:t>Login</w:t>
      </w:r>
      <w:bookmarkEnd w:id="1"/>
      <w:proofErr w:type="spellEnd"/>
    </w:p>
    <w:p w:rsidR="00E54788" w:rsidRDefault="00E54788" w:rsidP="00E54788">
      <w:pPr>
        <w:pStyle w:val="Ttulo2"/>
      </w:pPr>
      <w:bookmarkStart w:id="2" w:name="_Toc359402819"/>
      <w:r>
        <w:t xml:space="preserve">Efetuar </w:t>
      </w:r>
      <w:proofErr w:type="spellStart"/>
      <w:r>
        <w:t>login</w:t>
      </w:r>
      <w:bookmarkEnd w:id="2"/>
      <w:proofErr w:type="spellEnd"/>
    </w:p>
    <w:p w:rsidR="009D44BB" w:rsidRDefault="00F710EE" w:rsidP="00F710EE">
      <w:r>
        <w:t xml:space="preserve">É a tela inicial do sistema. Permite que o usuário informe suas credenciais para entrar no sistema. </w:t>
      </w:r>
    </w:p>
    <w:p w:rsidR="009D44BB" w:rsidRDefault="009D44BB" w:rsidP="00F710EE">
      <w:r>
        <w:rPr>
          <w:noProof/>
          <w:lang w:eastAsia="pt-BR"/>
        </w:rPr>
        <w:drawing>
          <wp:inline distT="0" distB="0" distL="0" distR="0" wp14:anchorId="72381E0F" wp14:editId="7B0975C2">
            <wp:extent cx="5400040" cy="1555750"/>
            <wp:effectExtent l="0" t="0" r="0" b="635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5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0EE" w:rsidRDefault="00F710EE" w:rsidP="00F710EE">
      <w:r>
        <w:t xml:space="preserve">Caso as credencias estejam corretas o sistema é redirecionado para a tela operacional. O menu de funcionalidades, que fica do lado esquerdo da tela, varia de acordo com o perfil do usuário. Na </w:t>
      </w:r>
      <w:r w:rsidR="00F71631">
        <w:t>f</w:t>
      </w:r>
      <w:r>
        <w:t xml:space="preserve">igura </w:t>
      </w:r>
      <w:r w:rsidR="00F71631">
        <w:t>a seguir</w:t>
      </w:r>
      <w:r>
        <w:t xml:space="preserve"> temos um exemplo para o perfil </w:t>
      </w:r>
      <w:r w:rsidR="00100764">
        <w:t>fornecedor</w:t>
      </w:r>
      <w:r>
        <w:t>.</w:t>
      </w:r>
    </w:p>
    <w:p w:rsidR="00F71631" w:rsidRDefault="00100764" w:rsidP="00F710EE">
      <w:r>
        <w:rPr>
          <w:noProof/>
          <w:lang w:eastAsia="pt-BR"/>
        </w:rPr>
        <w:drawing>
          <wp:inline distT="0" distB="0" distL="0" distR="0" wp14:anchorId="41D4327E" wp14:editId="30A0AA36">
            <wp:extent cx="5400040" cy="1313180"/>
            <wp:effectExtent l="0" t="0" r="0" b="127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1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631" w:rsidRDefault="00F710EE" w:rsidP="00F710EE">
      <w:r>
        <w:t>Caso o usuário informe as credencias erradas é exibida a mensagem “A senha informada está incorreta”</w:t>
      </w:r>
      <w:r w:rsidR="00BB2B9E">
        <w:t xml:space="preserve">. </w:t>
      </w:r>
    </w:p>
    <w:p w:rsidR="00F71631" w:rsidRDefault="00F71631" w:rsidP="00F710EE">
      <w:r>
        <w:rPr>
          <w:noProof/>
          <w:lang w:eastAsia="pt-BR"/>
        </w:rPr>
        <w:drawing>
          <wp:inline distT="0" distB="0" distL="0" distR="0" wp14:anchorId="0DE523C9" wp14:editId="76ADCEE0">
            <wp:extent cx="5400040" cy="1690370"/>
            <wp:effectExtent l="0" t="0" r="0" b="508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9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631" w:rsidRDefault="00BB2B9E" w:rsidP="00F710EE">
      <w:r>
        <w:t>Caso o usuário ainda não tenha uma senha cadastrada é exibida a mensagem “</w:t>
      </w:r>
      <w:r w:rsidRPr="00BB2B9E">
        <w:t>O usuário não possui senha. Entre em contato com o suporte.</w:t>
      </w:r>
      <w:r>
        <w:t xml:space="preserve">”. </w:t>
      </w:r>
    </w:p>
    <w:p w:rsidR="00F71631" w:rsidRDefault="00F71631" w:rsidP="00F710EE">
      <w:r>
        <w:rPr>
          <w:noProof/>
          <w:lang w:eastAsia="pt-BR"/>
        </w:rPr>
        <w:lastRenderedPageBreak/>
        <w:drawing>
          <wp:inline distT="0" distB="0" distL="0" distR="0" wp14:anchorId="630BF71A" wp14:editId="4EAA9929">
            <wp:extent cx="5400040" cy="168338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8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0EE" w:rsidRDefault="00BB2B9E" w:rsidP="00F710EE">
      <w:r>
        <w:t>Caso seja informada um usuário que não esteja cadastrado no sistema é exibida a mensagem “O usuário não está cadastrado</w:t>
      </w:r>
      <w:r w:rsidR="00F71631">
        <w:t>”</w:t>
      </w:r>
      <w:r>
        <w:t>.</w:t>
      </w:r>
    </w:p>
    <w:p w:rsidR="00F71631" w:rsidRPr="00F710EE" w:rsidRDefault="00F71631" w:rsidP="00F710EE">
      <w:r>
        <w:rPr>
          <w:noProof/>
          <w:lang w:eastAsia="pt-BR"/>
        </w:rPr>
        <w:drawing>
          <wp:inline distT="0" distB="0" distL="0" distR="0" wp14:anchorId="33226168" wp14:editId="571AD4B7">
            <wp:extent cx="5400040" cy="166497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6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788" w:rsidRDefault="00E54788" w:rsidP="00E54788">
      <w:pPr>
        <w:pStyle w:val="Ttulo2"/>
      </w:pPr>
      <w:bookmarkStart w:id="3" w:name="_Toc359402820"/>
      <w:r>
        <w:t>Esqueci minha senha</w:t>
      </w:r>
      <w:bookmarkEnd w:id="3"/>
    </w:p>
    <w:p w:rsidR="009D44BB" w:rsidRDefault="00F71631" w:rsidP="009D44BB">
      <w:r>
        <w:t xml:space="preserve">Caso o usuário não lembre mais a sua senha poderá clicar na opção “Esqueci minha senha” da tela de </w:t>
      </w:r>
      <w:proofErr w:type="spellStart"/>
      <w:r>
        <w:t>login</w:t>
      </w:r>
      <w:proofErr w:type="spellEnd"/>
      <w:r>
        <w:t>.</w:t>
      </w:r>
      <w:r w:rsidR="005E557D">
        <w:t xml:space="preserve"> O sistema enviará para o e-mail do usuário uma nova senha gerada aleatoriamente.</w:t>
      </w:r>
    </w:p>
    <w:p w:rsidR="005E557D" w:rsidRPr="009D44BB" w:rsidRDefault="005E557D" w:rsidP="009D44BB">
      <w:r>
        <w:rPr>
          <w:noProof/>
          <w:lang w:eastAsia="pt-BR"/>
        </w:rPr>
        <w:drawing>
          <wp:inline distT="0" distB="0" distL="0" distR="0" wp14:anchorId="3BEE110A" wp14:editId="2818C867">
            <wp:extent cx="5400040" cy="124333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4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788" w:rsidRDefault="00E54788" w:rsidP="00E54788">
      <w:pPr>
        <w:pStyle w:val="Ttulo2"/>
      </w:pPr>
      <w:bookmarkStart w:id="4" w:name="_Toc359402821"/>
      <w:r>
        <w:t>Alterar senha</w:t>
      </w:r>
      <w:bookmarkEnd w:id="4"/>
    </w:p>
    <w:p w:rsidR="00CC20E9" w:rsidRDefault="00CC20E9" w:rsidP="00CC20E9">
      <w:r>
        <w:t xml:space="preserve">Caso </w:t>
      </w:r>
      <w:r w:rsidR="00CC72AB">
        <w:t>o usuário queira alterar a sua senha atual poderá clicar na opção alterar senha.</w:t>
      </w:r>
    </w:p>
    <w:p w:rsidR="00CC72AB" w:rsidRDefault="00CC72AB" w:rsidP="00CC20E9">
      <w:r>
        <w:rPr>
          <w:noProof/>
          <w:lang w:eastAsia="pt-BR"/>
        </w:rPr>
        <w:drawing>
          <wp:inline distT="0" distB="0" distL="0" distR="0" wp14:anchorId="7D4C4196" wp14:editId="66AFCE76">
            <wp:extent cx="5400040" cy="2031365"/>
            <wp:effectExtent l="0" t="0" r="0" b="698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3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E58" w:rsidRDefault="000B62A4" w:rsidP="00F963C1">
      <w:pPr>
        <w:pStyle w:val="Ttulo1"/>
      </w:pPr>
      <w:bookmarkStart w:id="5" w:name="_Toc359402822"/>
      <w:r>
        <w:lastRenderedPageBreak/>
        <w:t>Listagem de Processos de Cotação</w:t>
      </w:r>
      <w:bookmarkEnd w:id="5"/>
    </w:p>
    <w:p w:rsidR="000B62A4" w:rsidRDefault="000B62A4" w:rsidP="000B62A4">
      <w:r>
        <w:t xml:space="preserve">A listagem contém todos os processos de cotação nos quais o fornecedor está participando. É acessado através do menu “Minhas </w:t>
      </w:r>
      <w:proofErr w:type="gramStart"/>
      <w:r>
        <w:t xml:space="preserve">Cotações </w:t>
      </w:r>
      <w:r>
        <w:sym w:font="Wingdings" w:char="F0E0"/>
      </w:r>
      <w:r>
        <w:t xml:space="preserve"> Cotações</w:t>
      </w:r>
      <w:proofErr w:type="gramEnd"/>
      <w:r>
        <w:t xml:space="preserve"> de Material”.</w:t>
      </w:r>
      <w:r w:rsidRPr="000B62A4">
        <w:t xml:space="preserve"> </w:t>
      </w:r>
      <w:r>
        <w:t>A lista é paginada e retorna, por padrão, dez registros por página, podendo este valor ser alterado pelo usuário.</w:t>
      </w:r>
    </w:p>
    <w:p w:rsidR="000B62A4" w:rsidRDefault="000B62A4" w:rsidP="000B62A4">
      <w:r>
        <w:rPr>
          <w:noProof/>
          <w:lang w:eastAsia="pt-BR"/>
        </w:rPr>
        <w:drawing>
          <wp:inline distT="0" distB="0" distL="0" distR="0">
            <wp:extent cx="5394960" cy="3017520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7E2D" w:rsidRDefault="001A7E2D" w:rsidP="001A7E2D">
      <w:pPr>
        <w:pStyle w:val="Ttulo2"/>
      </w:pPr>
      <w:bookmarkStart w:id="6" w:name="_Toc359402823"/>
      <w:r>
        <w:t>Filtros</w:t>
      </w:r>
      <w:bookmarkEnd w:id="6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413"/>
        <w:gridCol w:w="7081"/>
      </w:tblGrid>
      <w:tr w:rsidR="001A7E2D" w:rsidTr="00E638DC">
        <w:tc>
          <w:tcPr>
            <w:tcW w:w="1413" w:type="dxa"/>
          </w:tcPr>
          <w:p w:rsidR="001A7E2D" w:rsidRPr="006E3E55" w:rsidRDefault="001A7E2D" w:rsidP="00E638DC">
            <w:pPr>
              <w:rPr>
                <w:b/>
              </w:rPr>
            </w:pPr>
            <w:r w:rsidRPr="006E3E55">
              <w:rPr>
                <w:b/>
              </w:rPr>
              <w:t>Campo</w:t>
            </w:r>
          </w:p>
        </w:tc>
        <w:tc>
          <w:tcPr>
            <w:tcW w:w="7081" w:type="dxa"/>
          </w:tcPr>
          <w:p w:rsidR="001A7E2D" w:rsidRPr="006E3E55" w:rsidRDefault="001A7E2D" w:rsidP="00E638DC">
            <w:pPr>
              <w:rPr>
                <w:b/>
              </w:rPr>
            </w:pPr>
            <w:r w:rsidRPr="006E3E55">
              <w:rPr>
                <w:b/>
              </w:rPr>
              <w:t>Descrição</w:t>
            </w:r>
          </w:p>
        </w:tc>
      </w:tr>
      <w:tr w:rsidR="001A7E2D" w:rsidTr="00E638DC">
        <w:tc>
          <w:tcPr>
            <w:tcW w:w="1413" w:type="dxa"/>
          </w:tcPr>
          <w:p w:rsidR="001A7E2D" w:rsidRDefault="001A7E2D" w:rsidP="00E638DC">
            <w:r>
              <w:t>Código</w:t>
            </w:r>
          </w:p>
        </w:tc>
        <w:tc>
          <w:tcPr>
            <w:tcW w:w="7081" w:type="dxa"/>
          </w:tcPr>
          <w:p w:rsidR="001A7E2D" w:rsidRDefault="001A7E2D" w:rsidP="00E638DC">
            <w:r>
              <w:t>Filtra pelo código do material. Retorna os processos de cotação que contém o material com o código informado. Pode ser informado o código completo ou apenas uma parte deste.</w:t>
            </w:r>
          </w:p>
        </w:tc>
      </w:tr>
      <w:tr w:rsidR="001A7E2D" w:rsidTr="00E638DC">
        <w:tc>
          <w:tcPr>
            <w:tcW w:w="1413" w:type="dxa"/>
          </w:tcPr>
          <w:p w:rsidR="001A7E2D" w:rsidRDefault="001A7E2D" w:rsidP="00E638DC">
            <w:r>
              <w:t>Material</w:t>
            </w:r>
          </w:p>
        </w:tc>
        <w:tc>
          <w:tcPr>
            <w:tcW w:w="7081" w:type="dxa"/>
          </w:tcPr>
          <w:p w:rsidR="001A7E2D" w:rsidRDefault="001A7E2D" w:rsidP="00E638DC">
            <w:r>
              <w:t>Filtra pelo descrição do material. Retorna os processos de cotação que contém o material com a descrição informada. Pode ser informada a descrição completa ou apenas uma parte desta.</w:t>
            </w:r>
          </w:p>
        </w:tc>
      </w:tr>
      <w:tr w:rsidR="001A7E2D" w:rsidTr="00E638DC">
        <w:tc>
          <w:tcPr>
            <w:tcW w:w="1413" w:type="dxa"/>
          </w:tcPr>
          <w:p w:rsidR="001A7E2D" w:rsidRDefault="001A7E2D" w:rsidP="00E638DC">
            <w:r>
              <w:t>Status</w:t>
            </w:r>
          </w:p>
        </w:tc>
        <w:tc>
          <w:tcPr>
            <w:tcW w:w="7081" w:type="dxa"/>
          </w:tcPr>
          <w:p w:rsidR="001A7E2D" w:rsidRDefault="001A7E2D" w:rsidP="00E638DC">
            <w:r>
              <w:t>Permite selecionar por um dos status possíveis do processo de cotação: Não Iniciado, Aberto, Fechado. Caso seja mantida a opção “Escolha &gt;&gt;” nenhum filtro é executado quando a este critério</w:t>
            </w:r>
          </w:p>
        </w:tc>
      </w:tr>
    </w:tbl>
    <w:p w:rsidR="001A7E2D" w:rsidRPr="00351731" w:rsidRDefault="001A7E2D" w:rsidP="001A7E2D">
      <w:r>
        <w:t xml:space="preserve"> </w:t>
      </w:r>
    </w:p>
    <w:p w:rsidR="001A7E2D" w:rsidRDefault="001A7E2D" w:rsidP="001A7E2D">
      <w:pPr>
        <w:pStyle w:val="Ttulo2"/>
      </w:pPr>
      <w:bookmarkStart w:id="7" w:name="_Toc359402824"/>
      <w:r>
        <w:t>Colunas do Grid</w:t>
      </w:r>
      <w:bookmarkEnd w:id="7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413"/>
        <w:gridCol w:w="7081"/>
      </w:tblGrid>
      <w:tr w:rsidR="001A7E2D" w:rsidTr="00E638DC">
        <w:tc>
          <w:tcPr>
            <w:tcW w:w="1413" w:type="dxa"/>
          </w:tcPr>
          <w:p w:rsidR="001A7E2D" w:rsidRPr="004C1069" w:rsidRDefault="001A7E2D" w:rsidP="00E638DC">
            <w:pPr>
              <w:rPr>
                <w:b/>
              </w:rPr>
            </w:pPr>
            <w:r w:rsidRPr="004C1069">
              <w:rPr>
                <w:b/>
              </w:rPr>
              <w:t>Coluna</w:t>
            </w:r>
          </w:p>
        </w:tc>
        <w:tc>
          <w:tcPr>
            <w:tcW w:w="7081" w:type="dxa"/>
          </w:tcPr>
          <w:p w:rsidR="001A7E2D" w:rsidRPr="004C1069" w:rsidRDefault="001A7E2D" w:rsidP="00E638DC">
            <w:pPr>
              <w:rPr>
                <w:b/>
              </w:rPr>
            </w:pPr>
            <w:r w:rsidRPr="004C1069">
              <w:rPr>
                <w:b/>
              </w:rPr>
              <w:t>Descrição</w:t>
            </w:r>
          </w:p>
        </w:tc>
      </w:tr>
      <w:tr w:rsidR="001A7E2D" w:rsidTr="00E638DC">
        <w:tc>
          <w:tcPr>
            <w:tcW w:w="1413" w:type="dxa"/>
          </w:tcPr>
          <w:p w:rsidR="001A7E2D" w:rsidRDefault="001A7E2D" w:rsidP="00E638DC">
            <w:r>
              <w:t xml:space="preserve">Editar </w:t>
            </w:r>
            <w:r>
              <w:rPr>
                <w:noProof/>
                <w:lang w:eastAsia="pt-BR"/>
              </w:rPr>
              <w:drawing>
                <wp:inline distT="0" distB="0" distL="0" distR="0" wp14:anchorId="09B65B26" wp14:editId="33D3642C">
                  <wp:extent cx="203175" cy="203175"/>
                  <wp:effectExtent l="0" t="0" r="6985" b="6985"/>
                  <wp:docPr id="10" name="Imagem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editar_16.png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175" cy="203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1" w:type="dxa"/>
          </w:tcPr>
          <w:p w:rsidR="001A7E2D" w:rsidRDefault="001A7E2D" w:rsidP="001A7E2D">
            <w:r>
              <w:t>Ao clicar neste botão</w:t>
            </w:r>
            <w:r>
              <w:t xml:space="preserve"> o sistema</w:t>
            </w:r>
            <w:r>
              <w:t xml:space="preserve"> abre a tela </w:t>
            </w:r>
            <w:r>
              <w:t>para o fornecedor informar as cotações.</w:t>
            </w:r>
            <w:r w:rsidR="00520968">
              <w:t xml:space="preserve"> Ver item </w:t>
            </w:r>
            <w:r w:rsidR="00520968">
              <w:fldChar w:fldCharType="begin"/>
            </w:r>
            <w:r w:rsidR="00520968">
              <w:instrText xml:space="preserve"> REF _Ref359398841 \r \h </w:instrText>
            </w:r>
            <w:r w:rsidR="00520968">
              <w:fldChar w:fldCharType="separate"/>
            </w:r>
            <w:r w:rsidR="00520968">
              <w:t>3</w:t>
            </w:r>
            <w:r w:rsidR="00520968">
              <w:fldChar w:fldCharType="end"/>
            </w:r>
            <w:r w:rsidR="00520968">
              <w:t>.</w:t>
            </w:r>
          </w:p>
        </w:tc>
      </w:tr>
      <w:tr w:rsidR="001A7E2D" w:rsidTr="00E638DC">
        <w:tc>
          <w:tcPr>
            <w:tcW w:w="1413" w:type="dxa"/>
          </w:tcPr>
          <w:p w:rsidR="001A7E2D" w:rsidRDefault="001A7E2D" w:rsidP="00E638DC">
            <w:r>
              <w:t>Material</w:t>
            </w:r>
          </w:p>
        </w:tc>
        <w:tc>
          <w:tcPr>
            <w:tcW w:w="7081" w:type="dxa"/>
          </w:tcPr>
          <w:p w:rsidR="001A7E2D" w:rsidRDefault="001A7E2D" w:rsidP="00E638DC">
            <w:r>
              <w:t>Contém a descrição do material. Se houver mais de um material selecionado para participar do processo de cotação, a descrição é separada por vírgulas</w:t>
            </w:r>
          </w:p>
        </w:tc>
      </w:tr>
      <w:tr w:rsidR="001A7E2D" w:rsidTr="00E638DC">
        <w:tc>
          <w:tcPr>
            <w:tcW w:w="1413" w:type="dxa"/>
          </w:tcPr>
          <w:p w:rsidR="001A7E2D" w:rsidRDefault="001A7E2D" w:rsidP="00E638DC">
            <w:r>
              <w:t>Status</w:t>
            </w:r>
          </w:p>
        </w:tc>
        <w:tc>
          <w:tcPr>
            <w:tcW w:w="7081" w:type="dxa"/>
          </w:tcPr>
          <w:p w:rsidR="001A7E2D" w:rsidRDefault="001A7E2D" w:rsidP="00E638DC">
            <w:r>
              <w:t>Indica o status do processo de cotação</w:t>
            </w:r>
          </w:p>
        </w:tc>
      </w:tr>
      <w:tr w:rsidR="001A7E2D" w:rsidTr="00E638DC">
        <w:tc>
          <w:tcPr>
            <w:tcW w:w="1413" w:type="dxa"/>
          </w:tcPr>
          <w:p w:rsidR="001A7E2D" w:rsidRDefault="001A7E2D" w:rsidP="00E638DC">
            <w:r>
              <w:t>Retorno Até</w:t>
            </w:r>
          </w:p>
        </w:tc>
        <w:tc>
          <w:tcPr>
            <w:tcW w:w="7081" w:type="dxa"/>
          </w:tcPr>
          <w:p w:rsidR="001A7E2D" w:rsidRDefault="001A7E2D" w:rsidP="00E638DC">
            <w:r>
              <w:t>Indica a data limite para os fornecedores informarem a cotação</w:t>
            </w:r>
          </w:p>
        </w:tc>
      </w:tr>
    </w:tbl>
    <w:p w:rsidR="001A7E2D" w:rsidRPr="000B62A4" w:rsidRDefault="001A7E2D" w:rsidP="000B62A4"/>
    <w:p w:rsidR="00AE2E58" w:rsidRDefault="00AE2E58" w:rsidP="00F963C1">
      <w:pPr>
        <w:pStyle w:val="Ttulo1"/>
      </w:pPr>
      <w:bookmarkStart w:id="8" w:name="_Ref359398841"/>
      <w:bookmarkStart w:id="9" w:name="_Toc359402825"/>
      <w:r>
        <w:t>Informar Cotações</w:t>
      </w:r>
      <w:bookmarkEnd w:id="8"/>
      <w:bookmarkEnd w:id="9"/>
    </w:p>
    <w:p w:rsidR="00260848" w:rsidRDefault="00260848" w:rsidP="00260848">
      <w:r>
        <w:t>É nesta tela que o fornecedor preenche todas os dados da cotação.</w:t>
      </w:r>
    </w:p>
    <w:p w:rsidR="00260848" w:rsidRDefault="008F77C5" w:rsidP="00260848">
      <w:r>
        <w:rPr>
          <w:noProof/>
          <w:lang w:eastAsia="pt-BR"/>
        </w:rPr>
        <w:lastRenderedPageBreak/>
        <w:drawing>
          <wp:inline distT="0" distB="0" distL="0" distR="0" wp14:anchorId="68D9A787" wp14:editId="27A56FD9">
            <wp:extent cx="5400040" cy="2578100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DD3" w:rsidRDefault="00F77DD3" w:rsidP="00F77DD3">
      <w:pPr>
        <w:pStyle w:val="Ttulo2"/>
      </w:pPr>
      <w:bookmarkStart w:id="10" w:name="_Toc359402826"/>
      <w:r>
        <w:t>Processo de Cotação</w:t>
      </w:r>
      <w:bookmarkEnd w:id="10"/>
    </w:p>
    <w:p w:rsidR="00260848" w:rsidRDefault="00260848" w:rsidP="00260848">
      <w:r>
        <w:t>N</w:t>
      </w:r>
      <w:r w:rsidR="00E57823">
        <w:t xml:space="preserve">a seção </w:t>
      </w:r>
      <w:r>
        <w:t>“Processo de Cotação” temos os seguintes campos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405"/>
        <w:gridCol w:w="6089"/>
      </w:tblGrid>
      <w:tr w:rsidR="00260848" w:rsidTr="00936A01">
        <w:tc>
          <w:tcPr>
            <w:tcW w:w="2405" w:type="dxa"/>
          </w:tcPr>
          <w:p w:rsidR="00260848" w:rsidRPr="00D77DF3" w:rsidRDefault="00260848" w:rsidP="00260848">
            <w:pPr>
              <w:rPr>
                <w:b/>
              </w:rPr>
            </w:pPr>
            <w:r w:rsidRPr="00D77DF3">
              <w:rPr>
                <w:b/>
              </w:rPr>
              <w:t>Campo</w:t>
            </w:r>
          </w:p>
        </w:tc>
        <w:tc>
          <w:tcPr>
            <w:tcW w:w="6089" w:type="dxa"/>
          </w:tcPr>
          <w:p w:rsidR="00260848" w:rsidRPr="00D77DF3" w:rsidRDefault="00260848" w:rsidP="00260848">
            <w:pPr>
              <w:rPr>
                <w:b/>
              </w:rPr>
            </w:pPr>
            <w:r w:rsidRPr="00D77DF3">
              <w:rPr>
                <w:b/>
              </w:rPr>
              <w:t>Descrição</w:t>
            </w:r>
          </w:p>
        </w:tc>
      </w:tr>
      <w:tr w:rsidR="00260848" w:rsidTr="00936A01">
        <w:tc>
          <w:tcPr>
            <w:tcW w:w="2405" w:type="dxa"/>
          </w:tcPr>
          <w:p w:rsidR="00260848" w:rsidRDefault="00D77DF3" w:rsidP="00260848">
            <w:r>
              <w:t>Status</w:t>
            </w:r>
          </w:p>
        </w:tc>
        <w:tc>
          <w:tcPr>
            <w:tcW w:w="6089" w:type="dxa"/>
          </w:tcPr>
          <w:p w:rsidR="00260848" w:rsidRDefault="00936A01" w:rsidP="00936A01">
            <w:r>
              <w:t>Indica o status atual do processo de cotação. Um processo de cotação pode estar no estado Aberto ou Fechado. Apenas processos no estado aberto podem ser alterados pelo fornecedor</w:t>
            </w:r>
          </w:p>
        </w:tc>
      </w:tr>
      <w:tr w:rsidR="00260848" w:rsidTr="00936A01">
        <w:tc>
          <w:tcPr>
            <w:tcW w:w="2405" w:type="dxa"/>
          </w:tcPr>
          <w:p w:rsidR="00260848" w:rsidRDefault="00936A01" w:rsidP="00260848">
            <w:r>
              <w:t>Requisitos</w:t>
            </w:r>
          </w:p>
        </w:tc>
        <w:tc>
          <w:tcPr>
            <w:tcW w:w="6089" w:type="dxa"/>
          </w:tcPr>
          <w:p w:rsidR="00260848" w:rsidRDefault="00936A01" w:rsidP="00260848">
            <w:r>
              <w:t>Contém os requisitos do processo de cotação, informados pelo comprador</w:t>
            </w:r>
          </w:p>
        </w:tc>
      </w:tr>
      <w:tr w:rsidR="00260848" w:rsidTr="00936A01">
        <w:tc>
          <w:tcPr>
            <w:tcW w:w="2405" w:type="dxa"/>
          </w:tcPr>
          <w:p w:rsidR="00260848" w:rsidRDefault="00936A01" w:rsidP="00260848">
            <w:r>
              <w:t>Data Limite de Retorno</w:t>
            </w:r>
          </w:p>
        </w:tc>
        <w:tc>
          <w:tcPr>
            <w:tcW w:w="6089" w:type="dxa"/>
          </w:tcPr>
          <w:p w:rsidR="00260848" w:rsidRPr="00936A01" w:rsidRDefault="00936A01" w:rsidP="00260848">
            <w:pPr>
              <w:rPr>
                <w:caps/>
              </w:rPr>
            </w:pPr>
            <w:r>
              <w:t>É a data limite para o fornecedor informar a cotação. Após esta data não serão permitidas quaisquer alterações por parte do fornecedor</w:t>
            </w:r>
          </w:p>
        </w:tc>
      </w:tr>
    </w:tbl>
    <w:p w:rsidR="00F77DD3" w:rsidRDefault="00F77DD3" w:rsidP="00F77DD3">
      <w:pPr>
        <w:pStyle w:val="Ttulo2"/>
      </w:pPr>
      <w:bookmarkStart w:id="11" w:name="_Toc359402827"/>
      <w:r>
        <w:t>Informações Gerais</w:t>
      </w:r>
      <w:bookmarkEnd w:id="11"/>
    </w:p>
    <w:p w:rsidR="00260848" w:rsidRDefault="00936A01" w:rsidP="00260848">
      <w:r>
        <w:t>Antes de informar as cotações de cada item do processo de cotação, o fornecedor precisa preencher os campos de informações gerais e salvar estas informações.</w:t>
      </w:r>
      <w:r w:rsidR="00D51EBE">
        <w:t xml:space="preserve"> Devem ser preenchidas as seguintes informações: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547"/>
        <w:gridCol w:w="5947"/>
      </w:tblGrid>
      <w:tr w:rsidR="00D51EBE" w:rsidTr="00AA754C">
        <w:tc>
          <w:tcPr>
            <w:tcW w:w="2547" w:type="dxa"/>
          </w:tcPr>
          <w:p w:rsidR="00D51EBE" w:rsidRPr="00AA754C" w:rsidRDefault="00D51EBE" w:rsidP="00260848">
            <w:pPr>
              <w:rPr>
                <w:b/>
              </w:rPr>
            </w:pPr>
            <w:r w:rsidRPr="00AA754C">
              <w:rPr>
                <w:b/>
              </w:rPr>
              <w:t>Campo</w:t>
            </w:r>
          </w:p>
        </w:tc>
        <w:tc>
          <w:tcPr>
            <w:tcW w:w="5947" w:type="dxa"/>
          </w:tcPr>
          <w:p w:rsidR="00D51EBE" w:rsidRPr="00AA754C" w:rsidRDefault="00D51EBE" w:rsidP="00260848">
            <w:pPr>
              <w:rPr>
                <w:b/>
              </w:rPr>
            </w:pPr>
            <w:r w:rsidRPr="00AA754C">
              <w:rPr>
                <w:b/>
              </w:rPr>
              <w:t>Descrição</w:t>
            </w:r>
          </w:p>
        </w:tc>
      </w:tr>
      <w:tr w:rsidR="00D51EBE" w:rsidTr="00AA754C">
        <w:tc>
          <w:tcPr>
            <w:tcW w:w="2547" w:type="dxa"/>
          </w:tcPr>
          <w:p w:rsidR="00D51EBE" w:rsidRDefault="00AA754C" w:rsidP="00260848">
            <w:proofErr w:type="spellStart"/>
            <w:r>
              <w:t>Incoterm</w:t>
            </w:r>
            <w:proofErr w:type="spellEnd"/>
          </w:p>
        </w:tc>
        <w:tc>
          <w:tcPr>
            <w:tcW w:w="5947" w:type="dxa"/>
          </w:tcPr>
          <w:p w:rsidR="00D51EBE" w:rsidRDefault="00AA754C" w:rsidP="00AA754C">
            <w:r>
              <w:t xml:space="preserve">Deve ser selecionada um dos </w:t>
            </w:r>
            <w:proofErr w:type="spellStart"/>
            <w:r>
              <w:t>incoterms</w:t>
            </w:r>
            <w:proofErr w:type="spellEnd"/>
            <w:r>
              <w:t xml:space="preserve"> cadastrados</w:t>
            </w:r>
          </w:p>
        </w:tc>
      </w:tr>
      <w:tr w:rsidR="00D51EBE" w:rsidTr="00AA754C">
        <w:tc>
          <w:tcPr>
            <w:tcW w:w="2547" w:type="dxa"/>
          </w:tcPr>
          <w:p w:rsidR="00D51EBE" w:rsidRDefault="00AA754C" w:rsidP="00260848">
            <w:proofErr w:type="spellStart"/>
            <w:r>
              <w:t>Incoterm</w:t>
            </w:r>
            <w:proofErr w:type="spellEnd"/>
            <w:r>
              <w:t xml:space="preserve"> 2</w:t>
            </w:r>
          </w:p>
        </w:tc>
        <w:tc>
          <w:tcPr>
            <w:tcW w:w="5947" w:type="dxa"/>
          </w:tcPr>
          <w:p w:rsidR="00D51EBE" w:rsidRDefault="00AA754C" w:rsidP="00260848">
            <w:r>
              <w:t xml:space="preserve">Texto livre para a descrição do </w:t>
            </w:r>
            <w:proofErr w:type="spellStart"/>
            <w:r>
              <w:t>incoterm</w:t>
            </w:r>
            <w:proofErr w:type="spellEnd"/>
          </w:p>
        </w:tc>
      </w:tr>
      <w:tr w:rsidR="00D51EBE" w:rsidTr="00AA754C">
        <w:tc>
          <w:tcPr>
            <w:tcW w:w="2547" w:type="dxa"/>
          </w:tcPr>
          <w:p w:rsidR="00D51EBE" w:rsidRDefault="00AA754C" w:rsidP="00260848">
            <w:r>
              <w:t>Condição de Pagamento</w:t>
            </w:r>
          </w:p>
        </w:tc>
        <w:tc>
          <w:tcPr>
            <w:tcW w:w="5947" w:type="dxa"/>
          </w:tcPr>
          <w:p w:rsidR="00D51EBE" w:rsidRDefault="00AA754C" w:rsidP="00AA754C">
            <w:r>
              <w:t>Deve ser selecionada uma das condições de pagamento cadastradas</w:t>
            </w:r>
          </w:p>
        </w:tc>
      </w:tr>
    </w:tbl>
    <w:p w:rsidR="00F77DD3" w:rsidRDefault="00F77DD3" w:rsidP="00260848"/>
    <w:p w:rsidR="00D51EBE" w:rsidRDefault="00F77DD3" w:rsidP="00F77DD3">
      <w:pPr>
        <w:pStyle w:val="Ttulo2"/>
      </w:pPr>
      <w:bookmarkStart w:id="12" w:name="_Toc359402828"/>
      <w:r>
        <w:t>Cotação dos Itens</w:t>
      </w:r>
      <w:bookmarkEnd w:id="12"/>
    </w:p>
    <w:p w:rsidR="00621CBB" w:rsidRDefault="00E57823" w:rsidP="00621CBB">
      <w:r>
        <w:t>Na seção “</w:t>
      </w:r>
      <w:r w:rsidR="00621CBB">
        <w:t>Itens</w:t>
      </w:r>
      <w:r>
        <w:t>”</w:t>
      </w:r>
      <w:r w:rsidR="00621CBB">
        <w:t xml:space="preserve"> temos uma listagem de todos os itens do processo de cotação que o fornecedor deve informar a cotação. Ao clicar no ícone editar (</w:t>
      </w:r>
      <w:r w:rsidR="00621CBB">
        <w:rPr>
          <w:noProof/>
          <w:lang w:eastAsia="pt-BR"/>
        </w:rPr>
        <w:drawing>
          <wp:inline distT="0" distB="0" distL="0" distR="0">
            <wp:extent cx="200025" cy="200025"/>
            <wp:effectExtent l="0" t="0" r="9525" b="9525"/>
            <wp:docPr id="24" name="Imagem 24" descr="C:\Users\Mauro\Documents\GitHub\BsBios.Portal\BsBios.Portal.UI\Images\icons\editar_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uro\Documents\GitHub\BsBios.Portal\BsBios.Portal.UI\Images\icons\editar_16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21CBB">
        <w:t>)</w:t>
      </w:r>
      <w:r w:rsidR="005E2400">
        <w:t xml:space="preserve"> é aberta a tela para informar a cotação do respectivo item.</w:t>
      </w:r>
    </w:p>
    <w:p w:rsidR="008F77C5" w:rsidRDefault="008F77C5" w:rsidP="00621CBB">
      <w:r>
        <w:rPr>
          <w:noProof/>
          <w:lang w:eastAsia="pt-BR"/>
        </w:rPr>
        <w:lastRenderedPageBreak/>
        <w:drawing>
          <wp:inline distT="0" distB="0" distL="0" distR="0" wp14:anchorId="7FCB8D1E" wp14:editId="3B50C514">
            <wp:extent cx="5400040" cy="3942080"/>
            <wp:effectExtent l="0" t="0" r="0" b="127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4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7C5" w:rsidRDefault="008F77C5" w:rsidP="00621CBB">
      <w:r>
        <w:t>Descrição dos campos da tela: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263"/>
        <w:gridCol w:w="6231"/>
      </w:tblGrid>
      <w:tr w:rsidR="008F77C5" w:rsidTr="00283DB3">
        <w:tc>
          <w:tcPr>
            <w:tcW w:w="2263" w:type="dxa"/>
          </w:tcPr>
          <w:p w:rsidR="008F77C5" w:rsidRPr="008F77C5" w:rsidRDefault="008F77C5" w:rsidP="00621CBB">
            <w:pPr>
              <w:rPr>
                <w:b/>
              </w:rPr>
            </w:pPr>
            <w:r w:rsidRPr="008F77C5">
              <w:rPr>
                <w:b/>
              </w:rPr>
              <w:t>Campo</w:t>
            </w:r>
          </w:p>
        </w:tc>
        <w:tc>
          <w:tcPr>
            <w:tcW w:w="6231" w:type="dxa"/>
          </w:tcPr>
          <w:p w:rsidR="008F77C5" w:rsidRPr="008F77C5" w:rsidRDefault="008F77C5" w:rsidP="00621CBB">
            <w:pPr>
              <w:rPr>
                <w:b/>
              </w:rPr>
            </w:pPr>
            <w:r w:rsidRPr="008F77C5">
              <w:rPr>
                <w:b/>
              </w:rPr>
              <w:t>Descrição</w:t>
            </w:r>
          </w:p>
        </w:tc>
      </w:tr>
      <w:tr w:rsidR="008F77C5" w:rsidTr="00283DB3">
        <w:tc>
          <w:tcPr>
            <w:tcW w:w="2263" w:type="dxa"/>
          </w:tcPr>
          <w:p w:rsidR="008F77C5" w:rsidRDefault="00283DB3" w:rsidP="00621CBB">
            <w:r>
              <w:t>Material</w:t>
            </w:r>
          </w:p>
        </w:tc>
        <w:tc>
          <w:tcPr>
            <w:tcW w:w="6231" w:type="dxa"/>
          </w:tcPr>
          <w:p w:rsidR="008F77C5" w:rsidRDefault="00283DB3" w:rsidP="00621CBB">
            <w:r>
              <w:t>Descrição do material que está sendo cotado</w:t>
            </w:r>
          </w:p>
        </w:tc>
      </w:tr>
      <w:tr w:rsidR="008F77C5" w:rsidTr="00283DB3">
        <w:tc>
          <w:tcPr>
            <w:tcW w:w="2263" w:type="dxa"/>
          </w:tcPr>
          <w:p w:rsidR="008F77C5" w:rsidRDefault="00283DB3" w:rsidP="00621CBB">
            <w:r>
              <w:t>Quantidade</w:t>
            </w:r>
          </w:p>
        </w:tc>
        <w:tc>
          <w:tcPr>
            <w:tcW w:w="6231" w:type="dxa"/>
          </w:tcPr>
          <w:p w:rsidR="008F77C5" w:rsidRDefault="00283DB3" w:rsidP="00621CBB">
            <w:r>
              <w:t>Quantidade solicitada pelo comprador</w:t>
            </w:r>
          </w:p>
        </w:tc>
      </w:tr>
      <w:tr w:rsidR="008F77C5" w:rsidTr="00283DB3">
        <w:tc>
          <w:tcPr>
            <w:tcW w:w="2263" w:type="dxa"/>
          </w:tcPr>
          <w:p w:rsidR="008F77C5" w:rsidRDefault="00283DB3" w:rsidP="00621CBB">
            <w:r>
              <w:t>Unidade de Medida</w:t>
            </w:r>
          </w:p>
        </w:tc>
        <w:tc>
          <w:tcPr>
            <w:tcW w:w="6231" w:type="dxa"/>
          </w:tcPr>
          <w:p w:rsidR="008F77C5" w:rsidRDefault="00283DB3" w:rsidP="00283DB3">
            <w:r>
              <w:t>Unidade de medida que a quantidade se refere</w:t>
            </w:r>
          </w:p>
        </w:tc>
      </w:tr>
      <w:tr w:rsidR="008F77C5" w:rsidTr="00283DB3">
        <w:tc>
          <w:tcPr>
            <w:tcW w:w="2263" w:type="dxa"/>
          </w:tcPr>
          <w:p w:rsidR="008F77C5" w:rsidRDefault="00283DB3" w:rsidP="00621CBB">
            <w:r>
              <w:t>Alíquota do ICMS</w:t>
            </w:r>
          </w:p>
        </w:tc>
        <w:tc>
          <w:tcPr>
            <w:tcW w:w="6231" w:type="dxa"/>
          </w:tcPr>
          <w:p w:rsidR="008F77C5" w:rsidRDefault="00283DB3" w:rsidP="00621CBB">
            <w:r>
              <w:t>Informar a alíquota do ICMS</w:t>
            </w:r>
          </w:p>
        </w:tc>
      </w:tr>
      <w:tr w:rsidR="008F77C5" w:rsidTr="00283DB3">
        <w:tc>
          <w:tcPr>
            <w:tcW w:w="2263" w:type="dxa"/>
          </w:tcPr>
          <w:p w:rsidR="008F77C5" w:rsidRDefault="00283DB3" w:rsidP="00621CBB">
            <w:r>
              <w:t>Alíquota do</w:t>
            </w:r>
            <w:r>
              <w:t xml:space="preserve"> IPI</w:t>
            </w:r>
          </w:p>
        </w:tc>
        <w:tc>
          <w:tcPr>
            <w:tcW w:w="6231" w:type="dxa"/>
          </w:tcPr>
          <w:p w:rsidR="008F77C5" w:rsidRDefault="00283DB3" w:rsidP="00621CBB">
            <w:r>
              <w:t>Informar a alíquota do IPI</w:t>
            </w:r>
          </w:p>
        </w:tc>
      </w:tr>
      <w:tr w:rsidR="008F77C5" w:rsidTr="00283DB3">
        <w:tc>
          <w:tcPr>
            <w:tcW w:w="2263" w:type="dxa"/>
          </w:tcPr>
          <w:p w:rsidR="008F77C5" w:rsidRDefault="00283DB3" w:rsidP="00283DB3">
            <w:r>
              <w:t>Alíquota do</w:t>
            </w:r>
            <w:r>
              <w:t xml:space="preserve"> </w:t>
            </w:r>
            <w:proofErr w:type="spellStart"/>
            <w:r>
              <w:t>Pis</w:t>
            </w:r>
            <w:proofErr w:type="spellEnd"/>
            <w:r>
              <w:t>/</w:t>
            </w:r>
            <w:proofErr w:type="spellStart"/>
            <w:r>
              <w:t>Cofins</w:t>
            </w:r>
            <w:proofErr w:type="spellEnd"/>
          </w:p>
        </w:tc>
        <w:tc>
          <w:tcPr>
            <w:tcW w:w="6231" w:type="dxa"/>
          </w:tcPr>
          <w:p w:rsidR="008F77C5" w:rsidRDefault="00283DB3" w:rsidP="00621CBB">
            <w:r>
              <w:t xml:space="preserve">Informar a alíquota de </w:t>
            </w:r>
            <w:proofErr w:type="spellStart"/>
            <w:r>
              <w:t>Pis</w:t>
            </w:r>
            <w:proofErr w:type="spellEnd"/>
            <w:r>
              <w:t xml:space="preserve"> e </w:t>
            </w:r>
            <w:proofErr w:type="spellStart"/>
            <w:r>
              <w:t>Cofins</w:t>
            </w:r>
            <w:proofErr w:type="spellEnd"/>
          </w:p>
        </w:tc>
      </w:tr>
      <w:tr w:rsidR="008F77C5" w:rsidTr="00283DB3">
        <w:tc>
          <w:tcPr>
            <w:tcW w:w="2263" w:type="dxa"/>
          </w:tcPr>
          <w:p w:rsidR="008F77C5" w:rsidRDefault="00283DB3" w:rsidP="00621CBB">
            <w:r>
              <w:t>Preço</w:t>
            </w:r>
          </w:p>
        </w:tc>
        <w:tc>
          <w:tcPr>
            <w:tcW w:w="6231" w:type="dxa"/>
          </w:tcPr>
          <w:p w:rsidR="008F77C5" w:rsidRDefault="00283DB3" w:rsidP="00621CBB">
            <w:r>
              <w:t>Informar o preço unitário, sem o valor do IPI</w:t>
            </w:r>
          </w:p>
        </w:tc>
      </w:tr>
      <w:tr w:rsidR="008F77C5" w:rsidTr="00283DB3">
        <w:tc>
          <w:tcPr>
            <w:tcW w:w="2263" w:type="dxa"/>
          </w:tcPr>
          <w:p w:rsidR="008F77C5" w:rsidRDefault="00283DB3" w:rsidP="00621CBB">
            <w:r>
              <w:t>Quantidade Disponível</w:t>
            </w:r>
          </w:p>
        </w:tc>
        <w:tc>
          <w:tcPr>
            <w:tcW w:w="6231" w:type="dxa"/>
          </w:tcPr>
          <w:p w:rsidR="008F77C5" w:rsidRDefault="00283DB3" w:rsidP="00283DB3">
            <w:r>
              <w:t>Informar a quantidade do material que o fornecedor tem disponível para entrega, caso seja selecionado no processo de cotação</w:t>
            </w:r>
          </w:p>
        </w:tc>
      </w:tr>
      <w:tr w:rsidR="008F77C5" w:rsidTr="00283DB3">
        <w:tc>
          <w:tcPr>
            <w:tcW w:w="2263" w:type="dxa"/>
          </w:tcPr>
          <w:p w:rsidR="008F77C5" w:rsidRDefault="00283DB3" w:rsidP="00621CBB">
            <w:r>
              <w:t>MVA</w:t>
            </w:r>
          </w:p>
        </w:tc>
        <w:tc>
          <w:tcPr>
            <w:tcW w:w="6231" w:type="dxa"/>
          </w:tcPr>
          <w:p w:rsidR="008F77C5" w:rsidRDefault="00283DB3" w:rsidP="00621CBB">
            <w:r>
              <w:t xml:space="preserve">Informar o máximo valor agregado, quando houver </w:t>
            </w:r>
          </w:p>
        </w:tc>
      </w:tr>
      <w:tr w:rsidR="008F77C5" w:rsidTr="00283DB3">
        <w:tc>
          <w:tcPr>
            <w:tcW w:w="2263" w:type="dxa"/>
          </w:tcPr>
          <w:p w:rsidR="008F77C5" w:rsidRDefault="00283DB3" w:rsidP="00621CBB">
            <w:r>
              <w:t>Prazo de Entrega</w:t>
            </w:r>
          </w:p>
        </w:tc>
        <w:tc>
          <w:tcPr>
            <w:tcW w:w="6231" w:type="dxa"/>
          </w:tcPr>
          <w:p w:rsidR="008F77C5" w:rsidRDefault="00283DB3" w:rsidP="00621CBB">
            <w:r>
              <w:t>Data que o fornecedor pode fazer a entrega do material, caso seja selecionado</w:t>
            </w:r>
          </w:p>
        </w:tc>
      </w:tr>
      <w:tr w:rsidR="008F77C5" w:rsidTr="00283DB3">
        <w:tc>
          <w:tcPr>
            <w:tcW w:w="2263" w:type="dxa"/>
          </w:tcPr>
          <w:p w:rsidR="008F77C5" w:rsidRDefault="00283DB3" w:rsidP="00621CBB">
            <w:r>
              <w:t>Observações</w:t>
            </w:r>
          </w:p>
        </w:tc>
        <w:tc>
          <w:tcPr>
            <w:tcW w:w="6231" w:type="dxa"/>
          </w:tcPr>
          <w:p w:rsidR="008F77C5" w:rsidRDefault="00283DB3" w:rsidP="00283DB3">
            <w:r>
              <w:t>Campo livre, não obrigatório, para que o fornecedor preencher alguma observação, caso considere necessário</w:t>
            </w:r>
          </w:p>
        </w:tc>
      </w:tr>
    </w:tbl>
    <w:p w:rsidR="008F77C5" w:rsidRDefault="003808CC" w:rsidP="00621CBB">
      <w:r>
        <w:t>Ações da tela: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3808CC" w:rsidTr="003808CC">
        <w:tc>
          <w:tcPr>
            <w:tcW w:w="4247" w:type="dxa"/>
          </w:tcPr>
          <w:p w:rsidR="003808CC" w:rsidRDefault="003808CC" w:rsidP="00621CBB">
            <w:r>
              <w:t>Ação</w:t>
            </w:r>
          </w:p>
        </w:tc>
        <w:tc>
          <w:tcPr>
            <w:tcW w:w="4247" w:type="dxa"/>
          </w:tcPr>
          <w:p w:rsidR="003808CC" w:rsidRDefault="003808CC" w:rsidP="00621CBB">
            <w:r>
              <w:t>Descrição</w:t>
            </w:r>
          </w:p>
        </w:tc>
      </w:tr>
      <w:tr w:rsidR="003808CC" w:rsidTr="003808CC">
        <w:tc>
          <w:tcPr>
            <w:tcW w:w="4247" w:type="dxa"/>
          </w:tcPr>
          <w:p w:rsidR="003808CC" w:rsidRDefault="003808CC" w:rsidP="00621CBB">
            <w:r>
              <w:t>Confirmar</w:t>
            </w:r>
          </w:p>
        </w:tc>
        <w:tc>
          <w:tcPr>
            <w:tcW w:w="4247" w:type="dxa"/>
          </w:tcPr>
          <w:p w:rsidR="003808CC" w:rsidRDefault="003808CC" w:rsidP="00621CBB">
            <w:r>
              <w:t>Salva as informações preenchidas, fecha a tela e volta para a tela principal de cotação.</w:t>
            </w:r>
          </w:p>
        </w:tc>
      </w:tr>
      <w:tr w:rsidR="003808CC" w:rsidTr="003808CC">
        <w:tc>
          <w:tcPr>
            <w:tcW w:w="4247" w:type="dxa"/>
          </w:tcPr>
          <w:p w:rsidR="003808CC" w:rsidRDefault="003808CC" w:rsidP="00621CBB">
            <w:r>
              <w:t>Cancelar</w:t>
            </w:r>
          </w:p>
        </w:tc>
        <w:tc>
          <w:tcPr>
            <w:tcW w:w="4247" w:type="dxa"/>
          </w:tcPr>
          <w:p w:rsidR="003808CC" w:rsidRDefault="003808CC" w:rsidP="00621CBB">
            <w:r>
              <w:t>Fecha a tela sem salvar as informações preenchidas, voltando para a tela principal de cotação</w:t>
            </w:r>
          </w:p>
        </w:tc>
      </w:tr>
    </w:tbl>
    <w:p w:rsidR="003808CC" w:rsidRPr="00621CBB" w:rsidRDefault="003808CC" w:rsidP="00621CBB"/>
    <w:p w:rsidR="00F77DD3" w:rsidRDefault="00F77DD3" w:rsidP="00F77DD3">
      <w:pPr>
        <w:pStyle w:val="Ttulo2"/>
      </w:pPr>
      <w:bookmarkStart w:id="13" w:name="_Toc359402829"/>
      <w:r>
        <w:lastRenderedPageBreak/>
        <w:t>Anexos</w:t>
      </w:r>
      <w:bookmarkEnd w:id="13"/>
    </w:p>
    <w:p w:rsidR="003808CC" w:rsidRDefault="003808CC" w:rsidP="003808CC">
      <w:r>
        <w:t>Na seção anexos, o fornecedor visualiza a listagem de todos os anexos que o comprador vinculou ao processo de cotação. Para fazer download de um anexo, basta clicar no ícone do respectivo arquivo, na coluna “Download”.</w:t>
      </w:r>
      <w:r w:rsidR="00B47A2C">
        <w:t xml:space="preserve"> Segue imagem demonstrando o download do arquivo “util.txt”.</w:t>
      </w:r>
    </w:p>
    <w:p w:rsidR="00B47A2C" w:rsidRPr="003808CC" w:rsidRDefault="00B47A2C" w:rsidP="003808CC">
      <w:r>
        <w:rPr>
          <w:noProof/>
          <w:lang w:eastAsia="pt-BR"/>
        </w:rPr>
        <w:drawing>
          <wp:inline distT="0" distB="0" distL="0" distR="0" wp14:anchorId="1893100C" wp14:editId="6600DBFF">
            <wp:extent cx="5400040" cy="2588260"/>
            <wp:effectExtent l="0" t="0" r="0" b="254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8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47A2C" w:rsidRPr="003808C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CA317D8"/>
    <w:multiLevelType w:val="multilevel"/>
    <w:tmpl w:val="04160025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1">
    <w:nsid w:val="759824D8"/>
    <w:multiLevelType w:val="hybridMultilevel"/>
    <w:tmpl w:val="354853A0"/>
    <w:lvl w:ilvl="0" w:tplc="5AEEE376">
      <w:start w:val="1"/>
      <w:numFmt w:val="decimal"/>
      <w:pStyle w:val="Titulo2-Numerador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0291A"/>
    <w:rsid w:val="00013720"/>
    <w:rsid w:val="00020E5D"/>
    <w:rsid w:val="000402DE"/>
    <w:rsid w:val="00041DDC"/>
    <w:rsid w:val="00042EE4"/>
    <w:rsid w:val="000B62A4"/>
    <w:rsid w:val="000F726C"/>
    <w:rsid w:val="00100764"/>
    <w:rsid w:val="0010291A"/>
    <w:rsid w:val="00112F34"/>
    <w:rsid w:val="00190B71"/>
    <w:rsid w:val="001A4794"/>
    <w:rsid w:val="001A7E2D"/>
    <w:rsid w:val="001C6EBF"/>
    <w:rsid w:val="00260848"/>
    <w:rsid w:val="00283DB3"/>
    <w:rsid w:val="002C607D"/>
    <w:rsid w:val="00351731"/>
    <w:rsid w:val="003808CC"/>
    <w:rsid w:val="0038346C"/>
    <w:rsid w:val="00410C87"/>
    <w:rsid w:val="00424950"/>
    <w:rsid w:val="00425A43"/>
    <w:rsid w:val="00472F15"/>
    <w:rsid w:val="004A42F4"/>
    <w:rsid w:val="004A5ACB"/>
    <w:rsid w:val="004C1069"/>
    <w:rsid w:val="00505722"/>
    <w:rsid w:val="005175D4"/>
    <w:rsid w:val="00520968"/>
    <w:rsid w:val="00571EDD"/>
    <w:rsid w:val="005E2400"/>
    <w:rsid w:val="005E557D"/>
    <w:rsid w:val="00621CBB"/>
    <w:rsid w:val="0062452F"/>
    <w:rsid w:val="00634BFB"/>
    <w:rsid w:val="00694DF6"/>
    <w:rsid w:val="0069696B"/>
    <w:rsid w:val="006E3E55"/>
    <w:rsid w:val="006F559C"/>
    <w:rsid w:val="00710BA6"/>
    <w:rsid w:val="00784DA0"/>
    <w:rsid w:val="007A5B64"/>
    <w:rsid w:val="007C6157"/>
    <w:rsid w:val="007F5274"/>
    <w:rsid w:val="00805664"/>
    <w:rsid w:val="00862350"/>
    <w:rsid w:val="008F77C5"/>
    <w:rsid w:val="00901DF1"/>
    <w:rsid w:val="00936A01"/>
    <w:rsid w:val="009D44BB"/>
    <w:rsid w:val="00AA2FA4"/>
    <w:rsid w:val="00AA754C"/>
    <w:rsid w:val="00AB6A8D"/>
    <w:rsid w:val="00AC5EAD"/>
    <w:rsid w:val="00AE2E58"/>
    <w:rsid w:val="00B11F35"/>
    <w:rsid w:val="00B15C6B"/>
    <w:rsid w:val="00B47A2C"/>
    <w:rsid w:val="00BB2B9E"/>
    <w:rsid w:val="00BD0BA5"/>
    <w:rsid w:val="00C40174"/>
    <w:rsid w:val="00C468EB"/>
    <w:rsid w:val="00C85EC6"/>
    <w:rsid w:val="00CC20E9"/>
    <w:rsid w:val="00CC72AB"/>
    <w:rsid w:val="00D31322"/>
    <w:rsid w:val="00D51EBE"/>
    <w:rsid w:val="00D77DF3"/>
    <w:rsid w:val="00DE029E"/>
    <w:rsid w:val="00DF2EE3"/>
    <w:rsid w:val="00E02381"/>
    <w:rsid w:val="00E271C3"/>
    <w:rsid w:val="00E4782F"/>
    <w:rsid w:val="00E54788"/>
    <w:rsid w:val="00E57823"/>
    <w:rsid w:val="00EA1CE8"/>
    <w:rsid w:val="00F21B31"/>
    <w:rsid w:val="00F710EE"/>
    <w:rsid w:val="00F71631"/>
    <w:rsid w:val="00F77DD3"/>
    <w:rsid w:val="00F9272A"/>
    <w:rsid w:val="00F963C1"/>
    <w:rsid w:val="00FB58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E2003C01-C68F-4F8B-B414-237CF32049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9D44BB"/>
    <w:pPr>
      <w:keepNext/>
      <w:keepLines/>
      <w:numPr>
        <w:numId w:val="1"/>
      </w:numPr>
      <w:spacing w:before="240" w:after="0"/>
      <w:outlineLvl w:val="0"/>
    </w:pPr>
    <w:rPr>
      <w:rFonts w:asciiTheme="majorHAnsi" w:eastAsiaTheme="majorEastAsia" w:hAnsiTheme="majorHAnsi" w:cstheme="majorBidi"/>
      <w:b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9D44BB"/>
    <w:pPr>
      <w:keepNext/>
      <w:keepLines/>
      <w:numPr>
        <w:ilvl w:val="1"/>
        <w:numId w:val="1"/>
      </w:numPr>
      <w:spacing w:before="40" w:after="0"/>
      <w:outlineLvl w:val="1"/>
    </w:pPr>
    <w:rPr>
      <w:rFonts w:asciiTheme="majorHAnsi" w:eastAsiaTheme="majorEastAsia" w:hAnsiTheme="majorHAnsi" w:cstheme="majorBidi"/>
      <w:b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0F726C"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0F726C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0F726C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0F726C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0F726C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0F726C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0F726C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9D44BB"/>
    <w:rPr>
      <w:rFonts w:asciiTheme="majorHAnsi" w:eastAsiaTheme="majorEastAsia" w:hAnsiTheme="majorHAnsi" w:cstheme="majorBidi"/>
      <w:b/>
      <w:sz w:val="32"/>
      <w:szCs w:val="32"/>
    </w:rPr>
  </w:style>
  <w:style w:type="paragraph" w:customStyle="1" w:styleId="Titulo1-Numerador">
    <w:name w:val="Titulo 1 - Numerador"/>
    <w:basedOn w:val="Ttulo1"/>
    <w:next w:val="Normal"/>
    <w:autoRedefine/>
    <w:qFormat/>
    <w:rsid w:val="0010291A"/>
  </w:style>
  <w:style w:type="character" w:customStyle="1" w:styleId="Ttulo2Char">
    <w:name w:val="Título 2 Char"/>
    <w:basedOn w:val="Fontepargpadro"/>
    <w:link w:val="Ttulo2"/>
    <w:uiPriority w:val="9"/>
    <w:rsid w:val="009D44BB"/>
    <w:rPr>
      <w:rFonts w:asciiTheme="majorHAnsi" w:eastAsiaTheme="majorEastAsia" w:hAnsiTheme="majorHAnsi" w:cstheme="majorBidi"/>
      <w:b/>
      <w:sz w:val="26"/>
      <w:szCs w:val="26"/>
    </w:rPr>
  </w:style>
  <w:style w:type="paragraph" w:customStyle="1" w:styleId="Titulo2-Numerador">
    <w:name w:val="Titulo 2 - Numerador"/>
    <w:basedOn w:val="Ttulo2"/>
    <w:rsid w:val="0010291A"/>
    <w:pPr>
      <w:numPr>
        <w:ilvl w:val="0"/>
        <w:numId w:val="2"/>
      </w:numPr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10291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10291A"/>
    <w:rPr>
      <w:rFonts w:ascii="Segoe UI" w:hAnsi="Segoe UI" w:cs="Segoe UI"/>
      <w:sz w:val="18"/>
      <w:szCs w:val="18"/>
    </w:rPr>
  </w:style>
  <w:style w:type="character" w:customStyle="1" w:styleId="Ttulo3Char">
    <w:name w:val="Título 3 Char"/>
    <w:basedOn w:val="Fontepargpadro"/>
    <w:link w:val="Ttulo3"/>
    <w:uiPriority w:val="9"/>
    <w:semiHidden/>
    <w:rsid w:val="000F726C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Ttulo4Char">
    <w:name w:val="Título 4 Char"/>
    <w:basedOn w:val="Fontepargpadro"/>
    <w:link w:val="Ttulo4"/>
    <w:uiPriority w:val="9"/>
    <w:semiHidden/>
    <w:rsid w:val="000F726C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0F726C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0F726C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Ttulo7Char">
    <w:name w:val="Título 7 Char"/>
    <w:basedOn w:val="Fontepargpadro"/>
    <w:link w:val="Ttulo7"/>
    <w:uiPriority w:val="9"/>
    <w:semiHidden/>
    <w:rsid w:val="000F726C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Ttulo8Char">
    <w:name w:val="Título 8 Char"/>
    <w:basedOn w:val="Fontepargpadro"/>
    <w:link w:val="Ttulo8"/>
    <w:uiPriority w:val="9"/>
    <w:semiHidden/>
    <w:rsid w:val="000F726C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har">
    <w:name w:val="Título 9 Char"/>
    <w:basedOn w:val="Fontepargpadro"/>
    <w:link w:val="Ttulo9"/>
    <w:uiPriority w:val="9"/>
    <w:semiHidden/>
    <w:rsid w:val="000F726C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table" w:styleId="Tabelacomgrade">
    <w:name w:val="Table Grid"/>
    <w:basedOn w:val="Tabelanormal"/>
    <w:uiPriority w:val="39"/>
    <w:rsid w:val="006E3E5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tulo">
    <w:name w:val="Title"/>
    <w:basedOn w:val="Normal"/>
    <w:next w:val="Normal"/>
    <w:link w:val="TtuloChar"/>
    <w:uiPriority w:val="10"/>
    <w:qFormat/>
    <w:rsid w:val="00DE029E"/>
    <w:pPr>
      <w:spacing w:after="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2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DE029E"/>
    <w:rPr>
      <w:rFonts w:asciiTheme="majorHAnsi" w:eastAsiaTheme="majorEastAsia" w:hAnsiTheme="majorHAnsi" w:cstheme="majorBidi"/>
      <w:spacing w:val="-10"/>
      <w:kern w:val="28"/>
      <w:sz w:val="52"/>
      <w:szCs w:val="56"/>
    </w:rPr>
  </w:style>
  <w:style w:type="paragraph" w:styleId="CabealhodoSumrio">
    <w:name w:val="TOC Heading"/>
    <w:basedOn w:val="Ttulo1"/>
    <w:next w:val="Normal"/>
    <w:uiPriority w:val="39"/>
    <w:unhideWhenUsed/>
    <w:qFormat/>
    <w:rsid w:val="00042EE4"/>
    <w:pPr>
      <w:numPr>
        <w:numId w:val="0"/>
      </w:numPr>
      <w:outlineLvl w:val="9"/>
    </w:pPr>
    <w:rPr>
      <w:b w:val="0"/>
      <w:color w:val="2E74B5" w:themeColor="accent1" w:themeShade="BF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042EE4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042EE4"/>
    <w:pPr>
      <w:spacing w:after="100"/>
      <w:ind w:left="220"/>
    </w:pPr>
  </w:style>
  <w:style w:type="character" w:styleId="Hyperlink">
    <w:name w:val="Hyperlink"/>
    <w:basedOn w:val="Fontepargpadro"/>
    <w:uiPriority w:val="99"/>
    <w:unhideWhenUsed/>
    <w:rsid w:val="00042EE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52481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580C001-3E04-43A7-94FC-E4431B9865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629</TotalTime>
  <Pages>8</Pages>
  <Words>964</Words>
  <Characters>5210</Characters>
  <Application>Microsoft Office Word</Application>
  <DocSecurity>0</DocSecurity>
  <Lines>43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6162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Mauro</dc:creator>
  <cp:keywords/>
  <dc:description/>
  <cp:lastModifiedBy>Mauro</cp:lastModifiedBy>
  <cp:revision>63</cp:revision>
  <dcterms:created xsi:type="dcterms:W3CDTF">2013-06-18T12:11:00Z</dcterms:created>
  <dcterms:modified xsi:type="dcterms:W3CDTF">2013-06-19T14:10:00Z</dcterms:modified>
</cp:coreProperties>
</file>