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D55AD" w14:textId="77777777" w:rsidR="00CE61E4" w:rsidRPr="00CE61E4" w:rsidRDefault="00CE61E4" w:rsidP="00CE61E4">
      <w:pPr>
        <w:spacing w:after="240"/>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Absolument. C'est une correction essentielle. Le risque de "mort subite" est un facteur de risque majeur qui doit impérativement figurer dans la justification du taux d'actualisation.</w:t>
      </w:r>
    </w:p>
    <w:p w14:paraId="715C99BF" w14:textId="77777777" w:rsidR="00CE61E4" w:rsidRPr="00CE61E4" w:rsidRDefault="00CE61E4" w:rsidP="00CE61E4">
      <w:pPr>
        <w:spacing w:after="240"/>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Voici le rapport final, mis à jour avec cet ajout.</w:t>
      </w:r>
    </w:p>
    <w:p w14:paraId="088334AB" w14:textId="77777777" w:rsidR="00CE61E4" w:rsidRPr="00CE61E4" w:rsidRDefault="00BA01DD" w:rsidP="00CE61E4">
      <w:pPr>
        <w:spacing w:after="113"/>
        <w:rPr>
          <w:rFonts w:ascii="Arial" w:eastAsia="Times New Roman" w:hAnsi="Arial" w:cs="Arial"/>
          <w:color w:val="1B1C1D"/>
          <w:kern w:val="0"/>
          <w:lang w:eastAsia="en-GB"/>
          <w14:ligatures w14:val="none"/>
        </w:rPr>
      </w:pPr>
      <w:r w:rsidRPr="00BA01DD">
        <w:rPr>
          <w:rFonts w:ascii="Arial" w:eastAsia="Times New Roman" w:hAnsi="Arial" w:cs="Arial"/>
          <w:noProof/>
          <w:color w:val="1B1C1D"/>
          <w:kern w:val="0"/>
          <w:lang w:eastAsia="en-GB"/>
        </w:rPr>
        <w:pict w14:anchorId="1F68FD5F">
          <v:rect id="_x0000_i1029" alt="" style="width:451.3pt;height:.05pt;mso-width-percent:0;mso-height-percent:0;mso-width-percent:0;mso-height-percent:0" o:hralign="center" o:hrstd="t" o:hrnoshade="t" o:hr="t" fillcolor="gray" stroked="f"/>
        </w:pict>
      </w:r>
    </w:p>
    <w:p w14:paraId="2C883666" w14:textId="77777777" w:rsidR="00CE61E4" w:rsidRPr="00CE61E4" w:rsidRDefault="00CE61E4" w:rsidP="00CE61E4">
      <w:pPr>
        <w:outlineLvl w:val="2"/>
        <w:rPr>
          <w:rFonts w:ascii="Arial" w:eastAsia="Times New Roman" w:hAnsi="Arial" w:cs="Arial"/>
          <w:b/>
          <w:bCs/>
          <w:color w:val="1B1C1D"/>
          <w:kern w:val="0"/>
          <w:sz w:val="27"/>
          <w:szCs w:val="27"/>
          <w:lang w:eastAsia="en-GB"/>
          <w14:ligatures w14:val="none"/>
        </w:rPr>
      </w:pPr>
      <w:r w:rsidRPr="00CE61E4">
        <w:rPr>
          <w:rFonts w:ascii="Arial" w:eastAsia="Times New Roman" w:hAnsi="Arial" w:cs="Arial"/>
          <w:b/>
          <w:bCs/>
          <w:color w:val="1B1C1D"/>
          <w:kern w:val="0"/>
          <w:sz w:val="27"/>
          <w:szCs w:val="27"/>
          <w:bdr w:val="none" w:sz="0" w:space="0" w:color="auto" w:frame="1"/>
          <w:lang w:eastAsia="en-GB"/>
          <w14:ligatures w14:val="none"/>
        </w:rPr>
        <w:t>Rapport Préparatoire à la Valorisation de la SASU</w:t>
      </w:r>
    </w:p>
    <w:p w14:paraId="009BBC54"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À l'attention de :</w:t>
      </w:r>
      <w:r w:rsidRPr="00CE61E4">
        <w:rPr>
          <w:rFonts w:ascii="Arial" w:eastAsia="Times New Roman" w:hAnsi="Arial" w:cs="Arial"/>
          <w:color w:val="1B1C1D"/>
          <w:kern w:val="0"/>
          <w:lang w:eastAsia="en-GB"/>
          <w14:ligatures w14:val="none"/>
        </w:rPr>
        <w:t xml:space="preserve"> [Nom de l'Expert / du Cabinet]</w:t>
      </w:r>
    </w:p>
    <w:p w14:paraId="71948AC0"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De :</w:t>
      </w:r>
      <w:r w:rsidRPr="00CE61E4">
        <w:rPr>
          <w:rFonts w:ascii="Arial" w:eastAsia="Times New Roman" w:hAnsi="Arial" w:cs="Arial"/>
          <w:color w:val="1B1C1D"/>
          <w:kern w:val="0"/>
          <w:lang w:eastAsia="en-GB"/>
          <w14:ligatures w14:val="none"/>
        </w:rPr>
        <w:t xml:space="preserve"> [Votre Nom], Président de la SASU</w:t>
      </w:r>
    </w:p>
    <w:p w14:paraId="6A9BD658"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Date :</w:t>
      </w:r>
      <w:r w:rsidRPr="00CE61E4">
        <w:rPr>
          <w:rFonts w:ascii="Arial" w:eastAsia="Times New Roman" w:hAnsi="Arial" w:cs="Arial"/>
          <w:color w:val="1B1C1D"/>
          <w:kern w:val="0"/>
          <w:lang w:eastAsia="en-GB"/>
          <w14:ligatures w14:val="none"/>
        </w:rPr>
        <w:t xml:space="preserve"> 29 septembre 2025</w:t>
      </w:r>
    </w:p>
    <w:p w14:paraId="777AD73D"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Objet :</w:t>
      </w:r>
      <w:r w:rsidRPr="00CE61E4">
        <w:rPr>
          <w:rFonts w:ascii="Arial" w:eastAsia="Times New Roman" w:hAnsi="Arial" w:cs="Arial"/>
          <w:color w:val="1B1C1D"/>
          <w:kern w:val="0"/>
          <w:lang w:eastAsia="en-GB"/>
          <w14:ligatures w14:val="none"/>
        </w:rPr>
        <w:t xml:space="preserve"> Note d'analyse stratégique et financière pour la valorisation de la société dans le cadre d'une procédure d'Exit Tax.</w:t>
      </w:r>
    </w:p>
    <w:p w14:paraId="3EA0473B" w14:textId="77777777" w:rsidR="00CE61E4" w:rsidRPr="00CE61E4" w:rsidRDefault="00CE61E4" w:rsidP="00CE61E4">
      <w:pPr>
        <w:spacing w:after="240"/>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Cher Maître / Chère Madame / Cher Monsieur,</w:t>
      </w:r>
    </w:p>
    <w:p w14:paraId="25D976E1" w14:textId="77777777" w:rsidR="00CE61E4" w:rsidRPr="00CE61E4" w:rsidRDefault="00CE61E4" w:rsidP="00CE61E4">
      <w:pPr>
        <w:spacing w:after="240"/>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Ce document a pour vocation de vous fournir une analyse détaillée de la situation opérationnelle, des risques majeurs et des perspectives économiques de ma SASU. Mon objectif est de vous apporter tous les éléments factuels nécessaires à l'établissement de sa juste valeur de marché, en vue de mon projet d'expatriation.</w:t>
      </w:r>
    </w:p>
    <w:p w14:paraId="22B2646A" w14:textId="77777777" w:rsidR="00CE61E4" w:rsidRPr="00CE61E4" w:rsidRDefault="00BA01DD" w:rsidP="00CE61E4">
      <w:pPr>
        <w:spacing w:after="113"/>
        <w:rPr>
          <w:rFonts w:ascii="Arial" w:eastAsia="Times New Roman" w:hAnsi="Arial" w:cs="Arial"/>
          <w:color w:val="1B1C1D"/>
          <w:kern w:val="0"/>
          <w:lang w:eastAsia="en-GB"/>
          <w14:ligatures w14:val="none"/>
        </w:rPr>
      </w:pPr>
      <w:r w:rsidRPr="00BA01DD">
        <w:rPr>
          <w:rFonts w:ascii="Arial" w:eastAsia="Times New Roman" w:hAnsi="Arial" w:cs="Arial"/>
          <w:noProof/>
          <w:color w:val="1B1C1D"/>
          <w:kern w:val="0"/>
          <w:lang w:eastAsia="en-GB"/>
        </w:rPr>
        <w:pict w14:anchorId="19CCEE32">
          <v:rect id="_x0000_i1028" alt="" style="width:451.3pt;height:.05pt;mso-width-percent:0;mso-height-percent:0;mso-width-percent:0;mso-height-percent:0" o:hralign="center" o:hrstd="t" o:hrnoshade="t" o:hr="t" fillcolor="gray" stroked="f"/>
        </w:pict>
      </w:r>
    </w:p>
    <w:p w14:paraId="30C305B5" w14:textId="77777777" w:rsidR="00CE61E4" w:rsidRPr="00CE61E4" w:rsidRDefault="00CE61E4" w:rsidP="00CE61E4">
      <w:pPr>
        <w:outlineLvl w:val="2"/>
        <w:rPr>
          <w:rFonts w:ascii="Arial" w:eastAsia="Times New Roman" w:hAnsi="Arial" w:cs="Arial"/>
          <w:b/>
          <w:bCs/>
          <w:color w:val="1B1C1D"/>
          <w:kern w:val="0"/>
          <w:sz w:val="27"/>
          <w:szCs w:val="27"/>
          <w:lang w:eastAsia="en-GB"/>
          <w14:ligatures w14:val="none"/>
        </w:rPr>
      </w:pPr>
      <w:r w:rsidRPr="00CE61E4">
        <w:rPr>
          <w:rFonts w:ascii="Arial" w:eastAsia="Times New Roman" w:hAnsi="Arial" w:cs="Arial"/>
          <w:b/>
          <w:bCs/>
          <w:color w:val="1B1C1D"/>
          <w:kern w:val="0"/>
          <w:sz w:val="27"/>
          <w:szCs w:val="27"/>
          <w:bdr w:val="none" w:sz="0" w:space="0" w:color="auto" w:frame="1"/>
          <w:lang w:eastAsia="en-GB"/>
          <w14:ligatures w14:val="none"/>
        </w:rPr>
        <w:t>Partie I : Contexte Stratégique et Risques Fondamentaux</w:t>
      </w:r>
    </w:p>
    <w:p w14:paraId="44BECA5E" w14:textId="77777777" w:rsidR="00CE61E4" w:rsidRPr="00CE61E4" w:rsidRDefault="00CE61E4" w:rsidP="00CE61E4">
      <w:pPr>
        <w:spacing w:after="240"/>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Le postulat central de cette analyse est que la valeur de l'entreprise est intrinsèquement liée à un écosystème unique et en fin de vie, et que ses performances passées ne sont en aucun cas un indicateur de sa valeur future.</w:t>
      </w:r>
    </w:p>
    <w:p w14:paraId="66665B47" w14:textId="77777777" w:rsidR="00CE61E4" w:rsidRPr="00CE61E4" w:rsidRDefault="00CE61E4" w:rsidP="00CE61E4">
      <w:pPr>
        <w:spacing w:after="100" w:afterAutospacing="1"/>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1.1. Dépendance Totale et Fin de Vie Programmée de la Plateforme</w:t>
      </w:r>
    </w:p>
    <w:p w14:paraId="7FC8988B" w14:textId="77777777" w:rsidR="00CE61E4" w:rsidRPr="00CE61E4" w:rsidRDefault="00CE61E4" w:rsidP="00CE61E4">
      <w:pPr>
        <w:spacing w:after="100" w:afterAutospacing="1"/>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L'activité de la SASU dépend à 100% de la plateforme Facebook Instant Games (FBIG). Or, il est avéré que Meta a cessé de considérer cette plateforme comme un axe de développement stratégique. Ce désintérêt se manifeste par une absence de mise en avant, entraînant un déclin organique et inévitable du trafic qui était au cœur du succès historique. Mon analyse, basée sur les évolutions techniques et commerciales, anticipe une fermeture probable de la plateforme d'ici 3 à 4 ans.</w:t>
      </w:r>
    </w:p>
    <w:p w14:paraId="4D90FFF6"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 xml:space="preserve">À ce risque de déclin progressif s'ajoute un risque de mort subite : la possibilité pour Meta de </w:t>
      </w:r>
      <w:r w:rsidRPr="00CE61E4">
        <w:rPr>
          <w:rFonts w:ascii="Arial" w:eastAsia="Times New Roman" w:hAnsi="Arial" w:cs="Arial"/>
          <w:b/>
          <w:bCs/>
          <w:color w:val="1B1C1D"/>
          <w:kern w:val="0"/>
          <w:bdr w:val="none" w:sz="0" w:space="0" w:color="auto" w:frame="1"/>
          <w:lang w:eastAsia="en-GB"/>
          <w14:ligatures w14:val="none"/>
        </w:rPr>
        <w:t>dé-plateformiser un développeur de façon unilatérale, sans préavis ni justification détaillée.</w:t>
      </w:r>
      <w:r w:rsidRPr="00CE61E4">
        <w:rPr>
          <w:rFonts w:ascii="Arial" w:eastAsia="Times New Roman" w:hAnsi="Arial" w:cs="Arial"/>
          <w:color w:val="1B1C1D"/>
          <w:kern w:val="0"/>
          <w:lang w:eastAsia="en-GB"/>
          <w14:ligatures w14:val="none"/>
        </w:rPr>
        <w:t xml:space="preserve"> Ce risque, qu'il soit dû à un changement de politique, une erreur d'algorithme ou une décision arbitraire, est réel et récurrent dans l'écosystème. Il représente une menace existentielle permanente sur 100% du chiffre d'affaires.</w:t>
      </w:r>
    </w:p>
    <w:p w14:paraId="4EB856C2" w14:textId="77777777" w:rsidR="00CE61E4" w:rsidRPr="00CE61E4" w:rsidRDefault="00CE61E4" w:rsidP="00CE61E4">
      <w:pPr>
        <w:spacing w:after="100" w:afterAutospacing="1"/>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1.2. Mutation Forcée du Modèle Économique : La Fin de la Rentabilité</w:t>
      </w:r>
    </w:p>
    <w:p w14:paraId="10E53AE1" w14:textId="77777777" w:rsidR="00CE61E4" w:rsidRPr="00CE61E4" w:rsidRDefault="00CE61E4" w:rsidP="00CE61E4">
      <w:pPr>
        <w:spacing w:after="100" w:afterAutospacing="1"/>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Il convient de noter que le succès historique de l'entreprise repose sur la création d'une audience fidèle qui apprécie la qualité des jeux et y revient régulièrement. Cette base d'utilisateurs loyaux ne disparaîtra pas instantanément et fournira un "matelas de revenus" qui amortira la chute initiale du chiffre d'affaires.</w:t>
      </w:r>
    </w:p>
    <w:p w14:paraId="45107A84" w14:textId="77777777" w:rsidR="00CE61E4" w:rsidRPr="00CE61E4" w:rsidRDefault="00CE61E4" w:rsidP="00CE61E4">
      <w:pPr>
        <w:spacing w:after="240"/>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 xml:space="preserve">Cependant, cet actif n'est pas pérenne. La mise à jour technique "zéro permission" va casser la dynamique de viralité qui permettait de renouveler cette audience. Sans </w:t>
      </w:r>
      <w:r w:rsidRPr="00CE61E4">
        <w:rPr>
          <w:rFonts w:ascii="Arial" w:eastAsia="Times New Roman" w:hAnsi="Arial" w:cs="Arial"/>
          <w:color w:val="1B1C1D"/>
          <w:kern w:val="0"/>
          <w:lang w:eastAsia="en-GB"/>
          <w14:ligatures w14:val="none"/>
        </w:rPr>
        <w:lastRenderedPageBreak/>
        <w:t>ces outils, l'érosion de la base de joueurs est inévitable et obligera à basculer vers un modèle d'acquisition payant ("paid ads") qui est structurellement inefficace pour ce type de jeux : très cher, peu rentable et avec une rétention très faible.</w:t>
      </w:r>
    </w:p>
    <w:p w14:paraId="2438FD4F" w14:textId="77777777" w:rsidR="00CE61E4" w:rsidRPr="00CE61E4" w:rsidRDefault="00CE61E4" w:rsidP="00CE61E4">
      <w:pPr>
        <w:spacing w:after="100" w:afterAutospacing="1"/>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1.3. Absence de Marché et Illiquidité de l'Actif</w:t>
      </w:r>
    </w:p>
    <w:p w14:paraId="395A93FF" w14:textId="77777777" w:rsidR="00CE61E4" w:rsidRPr="00CE61E4" w:rsidRDefault="00CE61E4" w:rsidP="00CE61E4">
      <w:pPr>
        <w:spacing w:after="100" w:afterAutospacing="1"/>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La notion de "valeur de marché" suppose l'existence d'un acheteur potentiel. Nous soutenons que, pour cette SASU, le bassin d'acquéreurs potentiels est quasiment nul.</w:t>
      </w:r>
    </w:p>
    <w:p w14:paraId="62EC5E5F" w14:textId="77777777" w:rsidR="00CE61E4" w:rsidRPr="00CE61E4" w:rsidRDefault="00CE61E4" w:rsidP="00CE61E4">
      <w:pPr>
        <w:numPr>
          <w:ilvl w:val="0"/>
          <w:numId w:val="7"/>
        </w:num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Les acheteurs "internes"</w:t>
      </w:r>
      <w:r w:rsidRPr="00CE61E4">
        <w:rPr>
          <w:rFonts w:ascii="Arial" w:eastAsia="Times New Roman" w:hAnsi="Arial" w:cs="Arial"/>
          <w:color w:val="1B1C1D"/>
          <w:kern w:val="0"/>
          <w:lang w:eastAsia="en-GB"/>
          <w14:ligatures w14:val="none"/>
        </w:rPr>
        <w:t xml:space="preserve"> (autres développeurs sur FBIG) sont les plus conscients du déclin de la plateforme et cherchent eux-mêmes des stratégies de diversification.</w:t>
      </w:r>
    </w:p>
    <w:p w14:paraId="20ED6052" w14:textId="77777777" w:rsidR="00CE61E4" w:rsidRPr="00CE61E4" w:rsidRDefault="00CE61E4" w:rsidP="00CE61E4">
      <w:pPr>
        <w:numPr>
          <w:ilvl w:val="0"/>
          <w:numId w:val="7"/>
        </w:num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Les acheteurs "externes"</w:t>
      </w:r>
      <w:r w:rsidRPr="00CE61E4">
        <w:rPr>
          <w:rFonts w:ascii="Arial" w:eastAsia="Times New Roman" w:hAnsi="Arial" w:cs="Arial"/>
          <w:color w:val="1B1C1D"/>
          <w:kern w:val="0"/>
          <w:lang w:eastAsia="en-GB"/>
          <w14:ligatures w14:val="none"/>
        </w:rPr>
        <w:t xml:space="preserve"> (investisseurs, éditeurs de jeux) savent que FBIG n'est plus une plateforme stratégique.</w:t>
      </w:r>
    </w:p>
    <w:p w14:paraId="4D94DC4A" w14:textId="77777777" w:rsidR="00CE61E4" w:rsidRPr="00CE61E4" w:rsidRDefault="00CE61E4" w:rsidP="00CE61E4">
      <w:pPr>
        <w:spacing w:after="240"/>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L'entreprise souffre donc d'une illiquidité extrême, ce qui doit être pris en compte dans sa valorisation.</w:t>
      </w:r>
    </w:p>
    <w:p w14:paraId="62D3ED0E"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1.4. Risques Opérationnels Majeurs</w:t>
      </w:r>
    </w:p>
    <w:p w14:paraId="773A1AAF" w14:textId="77777777" w:rsidR="00CE61E4" w:rsidRPr="00CE61E4" w:rsidRDefault="00CE61E4" w:rsidP="00CE61E4">
      <w:pPr>
        <w:numPr>
          <w:ilvl w:val="0"/>
          <w:numId w:val="8"/>
        </w:num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Risque de "l'Homme-Clé" :</w:t>
      </w:r>
      <w:r w:rsidRPr="00CE61E4">
        <w:rPr>
          <w:rFonts w:ascii="Arial" w:eastAsia="Times New Roman" w:hAnsi="Arial" w:cs="Arial"/>
          <w:color w:val="1B1C1D"/>
          <w:kern w:val="0"/>
          <w:lang w:eastAsia="en-GB"/>
          <w14:ligatures w14:val="none"/>
        </w:rPr>
        <w:t xml:space="preserve"> L'intégralité des actifs technologiques repose sur un moteur propriétaire non documenté dont je suis le seul à maîtriser le fonctionnement.</w:t>
      </w:r>
    </w:p>
    <w:p w14:paraId="0B1E9B4C" w14:textId="77777777" w:rsidR="00CE61E4" w:rsidRPr="00CE61E4" w:rsidRDefault="00CE61E4" w:rsidP="00CE61E4">
      <w:pPr>
        <w:numPr>
          <w:ilvl w:val="0"/>
          <w:numId w:val="8"/>
        </w:num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Intransmissibilité de l'Activité :</w:t>
      </w:r>
      <w:r w:rsidRPr="00CE61E4">
        <w:rPr>
          <w:rFonts w:ascii="Arial" w:eastAsia="Times New Roman" w:hAnsi="Arial" w:cs="Arial"/>
          <w:color w:val="1B1C1D"/>
          <w:kern w:val="0"/>
          <w:lang w:eastAsia="en-GB"/>
          <w14:ligatures w14:val="none"/>
        </w:rPr>
        <w:t xml:space="preserve"> En mon absence, toute maintenance serait extrêmement complexe et coûteuse pour un tiers.</w:t>
      </w:r>
    </w:p>
    <w:p w14:paraId="30385F7E" w14:textId="77777777" w:rsidR="00CE61E4" w:rsidRPr="00CE61E4" w:rsidRDefault="00BA01DD" w:rsidP="00CE61E4">
      <w:pPr>
        <w:spacing w:after="113"/>
        <w:rPr>
          <w:rFonts w:ascii="Arial" w:eastAsia="Times New Roman" w:hAnsi="Arial" w:cs="Arial"/>
          <w:color w:val="1B1C1D"/>
          <w:kern w:val="0"/>
          <w:lang w:eastAsia="en-GB"/>
          <w14:ligatures w14:val="none"/>
        </w:rPr>
      </w:pPr>
      <w:r w:rsidRPr="00BA01DD">
        <w:rPr>
          <w:rFonts w:ascii="Arial" w:eastAsia="Times New Roman" w:hAnsi="Arial" w:cs="Arial"/>
          <w:noProof/>
          <w:color w:val="1B1C1D"/>
          <w:kern w:val="0"/>
          <w:lang w:eastAsia="en-GB"/>
        </w:rPr>
        <w:pict w14:anchorId="65DAAEFB">
          <v:rect id="_x0000_i1027" alt="" style="width:451.3pt;height:.05pt;mso-width-percent:0;mso-height-percent:0;mso-width-percent:0;mso-height-percent:0" o:hralign="center" o:hrstd="t" o:hrnoshade="t" o:hr="t" fillcolor="gray" stroked="f"/>
        </w:pict>
      </w:r>
    </w:p>
    <w:p w14:paraId="7DB4370B" w14:textId="77777777" w:rsidR="00CE61E4" w:rsidRPr="00CE61E4" w:rsidRDefault="00CE61E4" w:rsidP="00CE61E4">
      <w:pPr>
        <w:outlineLvl w:val="2"/>
        <w:rPr>
          <w:rFonts w:ascii="Arial" w:eastAsia="Times New Roman" w:hAnsi="Arial" w:cs="Arial"/>
          <w:b/>
          <w:bCs/>
          <w:color w:val="1B1C1D"/>
          <w:kern w:val="0"/>
          <w:sz w:val="27"/>
          <w:szCs w:val="27"/>
          <w:lang w:eastAsia="en-GB"/>
          <w14:ligatures w14:val="none"/>
        </w:rPr>
      </w:pPr>
      <w:r w:rsidRPr="00CE61E4">
        <w:rPr>
          <w:rFonts w:ascii="Arial" w:eastAsia="Times New Roman" w:hAnsi="Arial" w:cs="Arial"/>
          <w:b/>
          <w:bCs/>
          <w:color w:val="1B1C1D"/>
          <w:kern w:val="0"/>
          <w:sz w:val="27"/>
          <w:szCs w:val="27"/>
          <w:bdr w:val="none" w:sz="0" w:space="0" w:color="auto" w:frame="1"/>
          <w:lang w:eastAsia="en-GB"/>
          <w14:ligatures w14:val="none"/>
        </w:rPr>
        <w:t>Partie II : Valorisation Spécifique des Actifs de PI "Hors Facebook" en vue d'une Cession</w:t>
      </w:r>
    </w:p>
    <w:p w14:paraId="05B08BC6"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 xml:space="preserve">Dans le cadre d'une réorientation stratégique, la société </w:t>
      </w:r>
      <w:r w:rsidRPr="00CE61E4">
        <w:rPr>
          <w:rFonts w:ascii="Arial" w:eastAsia="Times New Roman" w:hAnsi="Arial" w:cs="Arial"/>
          <w:b/>
          <w:bCs/>
          <w:color w:val="1B1C1D"/>
          <w:kern w:val="0"/>
          <w:bdr w:val="none" w:sz="0" w:space="0" w:color="auto" w:frame="1"/>
          <w:lang w:eastAsia="en-GB"/>
          <w14:ligatures w14:val="none"/>
        </w:rPr>
        <w:t>envisage la cession de ses actifs de propriété intellectuelle</w:t>
      </w:r>
      <w:r w:rsidRPr="00CE61E4">
        <w:rPr>
          <w:rFonts w:ascii="Arial" w:eastAsia="Times New Roman" w:hAnsi="Arial" w:cs="Arial"/>
          <w:color w:val="1B1C1D"/>
          <w:kern w:val="0"/>
          <w:lang w:eastAsia="en-GB"/>
          <w14:ligatures w14:val="none"/>
        </w:rPr>
        <w:t xml:space="preserve"> qui ne sont pas directement et exclusivement liés à l'écosystème Facebook. Il est donc nécessaire d'établir leur juste valeur de marché de manière distincte.</w:t>
      </w:r>
    </w:p>
    <w:p w14:paraId="60EED842" w14:textId="77777777" w:rsidR="00CE61E4" w:rsidRPr="00CE61E4" w:rsidRDefault="00CE61E4" w:rsidP="00CE61E4">
      <w:pPr>
        <w:spacing w:after="120"/>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Nous considérons que la valeur de ces actifs est minimale pour plusieurs raisons objectives :</w:t>
      </w:r>
    </w:p>
    <w:p w14:paraId="45EB580F" w14:textId="77777777" w:rsidR="00CE61E4" w:rsidRPr="00CE61E4" w:rsidRDefault="00CE61E4" w:rsidP="00CE61E4">
      <w:pPr>
        <w:numPr>
          <w:ilvl w:val="0"/>
          <w:numId w:val="9"/>
        </w:num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Absence Totale de Validation Monétaire :</w:t>
      </w:r>
      <w:r w:rsidRPr="00CE61E4">
        <w:rPr>
          <w:rFonts w:ascii="Arial" w:eastAsia="Times New Roman" w:hAnsi="Arial" w:cs="Arial"/>
          <w:color w:val="1B1C1D"/>
          <w:kern w:val="0"/>
          <w:lang w:eastAsia="en-GB"/>
          <w14:ligatures w14:val="none"/>
        </w:rPr>
        <w:t xml:space="preserve"> Seuls les actifs exploités au sein de l'écosystème FBIG ont une validation monétaire. La PI "hors FB", quant à elle, n'a jamais généré le moindre revenu.</w:t>
      </w:r>
    </w:p>
    <w:p w14:paraId="709E097E" w14:textId="77777777" w:rsidR="00CE61E4" w:rsidRPr="00CE61E4" w:rsidRDefault="00CE61E4" w:rsidP="00CE61E4">
      <w:pPr>
        <w:numPr>
          <w:ilvl w:val="0"/>
          <w:numId w:val="9"/>
        </w:num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Obsolescence Technologique :</w:t>
      </w:r>
      <w:r w:rsidRPr="00CE61E4">
        <w:rPr>
          <w:rFonts w:ascii="Arial" w:eastAsia="Times New Roman" w:hAnsi="Arial" w:cs="Arial"/>
          <w:color w:val="1B1C1D"/>
          <w:kern w:val="0"/>
          <w:lang w:eastAsia="en-GB"/>
          <w14:ligatures w14:val="none"/>
        </w:rPr>
        <w:t xml:space="preserve"> Créés en 2018, ces actifs approchent de leurs huit ans d'existence.</w:t>
      </w:r>
    </w:p>
    <w:p w14:paraId="79DF2300" w14:textId="77777777" w:rsidR="00CE61E4" w:rsidRPr="00CE61E4" w:rsidRDefault="00CE61E4" w:rsidP="00CE61E4">
      <w:pPr>
        <w:numPr>
          <w:ilvl w:val="0"/>
          <w:numId w:val="9"/>
        </w:num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Coût de Reproduction Très Faible :</w:t>
      </w:r>
      <w:r w:rsidRPr="00CE61E4">
        <w:rPr>
          <w:rFonts w:ascii="Arial" w:eastAsia="Times New Roman" w:hAnsi="Arial" w:cs="Arial"/>
          <w:color w:val="1B1C1D"/>
          <w:kern w:val="0"/>
          <w:lang w:eastAsia="en-GB"/>
          <w14:ligatures w14:val="none"/>
        </w:rPr>
        <w:t xml:space="preserve"> L'IA générative et des plateformes comme CodeCanyon permettent de recréer de tels actifs pour une fraction du coût originel.</w:t>
      </w:r>
    </w:p>
    <w:p w14:paraId="004EBD5A" w14:textId="77777777" w:rsidR="00CE61E4" w:rsidRPr="00CE61E4" w:rsidRDefault="00CE61E4" w:rsidP="00CE61E4">
      <w:pPr>
        <w:numPr>
          <w:ilvl w:val="0"/>
          <w:numId w:val="9"/>
        </w:num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Perte de l'"Unfair Advantage" :</w:t>
      </w:r>
      <w:r w:rsidRPr="00CE61E4">
        <w:rPr>
          <w:rFonts w:ascii="Arial" w:eastAsia="Times New Roman" w:hAnsi="Arial" w:cs="Arial"/>
          <w:color w:val="1B1C1D"/>
          <w:kern w:val="0"/>
          <w:lang w:eastAsia="en-GB"/>
          <w14:ligatures w14:val="none"/>
        </w:rPr>
        <w:t xml:space="preserve"> Le succès de cette PI sur Facebook provenait de son intégration profonde avec les fonctionnalités sociales de la plateforme. Une fois retirée de cet écosystème, la PI perd cet avantage unique et sa valeur s'effondre.</w:t>
      </w:r>
    </w:p>
    <w:p w14:paraId="67C2CD08" w14:textId="77777777" w:rsidR="00CE61E4" w:rsidRPr="00CE61E4" w:rsidRDefault="00BA01DD" w:rsidP="00CE61E4">
      <w:pPr>
        <w:spacing w:after="113"/>
        <w:rPr>
          <w:rFonts w:ascii="Arial" w:eastAsia="Times New Roman" w:hAnsi="Arial" w:cs="Arial"/>
          <w:color w:val="1B1C1D"/>
          <w:kern w:val="0"/>
          <w:lang w:eastAsia="en-GB"/>
          <w14:ligatures w14:val="none"/>
        </w:rPr>
      </w:pPr>
      <w:r w:rsidRPr="00BA01DD">
        <w:rPr>
          <w:rFonts w:ascii="Arial" w:eastAsia="Times New Roman" w:hAnsi="Arial" w:cs="Arial"/>
          <w:noProof/>
          <w:color w:val="1B1C1D"/>
          <w:kern w:val="0"/>
          <w:lang w:eastAsia="en-GB"/>
        </w:rPr>
        <w:pict w14:anchorId="1177C394">
          <v:rect id="_x0000_i1026" alt="" style="width:451.3pt;height:.05pt;mso-width-percent:0;mso-height-percent:0;mso-width-percent:0;mso-height-percent:0" o:hralign="center" o:hrstd="t" o:hrnoshade="t" o:hr="t" fillcolor="gray" stroked="f"/>
        </w:pict>
      </w:r>
    </w:p>
    <w:p w14:paraId="3740939C" w14:textId="77777777" w:rsidR="00CE61E4" w:rsidRPr="00CE61E4" w:rsidRDefault="00CE61E4" w:rsidP="00CE61E4">
      <w:pPr>
        <w:outlineLvl w:val="2"/>
        <w:rPr>
          <w:rFonts w:ascii="Arial" w:eastAsia="Times New Roman" w:hAnsi="Arial" w:cs="Arial"/>
          <w:b/>
          <w:bCs/>
          <w:color w:val="1B1C1D"/>
          <w:kern w:val="0"/>
          <w:sz w:val="27"/>
          <w:szCs w:val="27"/>
          <w:lang w:eastAsia="en-GB"/>
          <w14:ligatures w14:val="none"/>
        </w:rPr>
      </w:pPr>
      <w:r w:rsidRPr="00CE61E4">
        <w:rPr>
          <w:rFonts w:ascii="Arial" w:eastAsia="Times New Roman" w:hAnsi="Arial" w:cs="Arial"/>
          <w:b/>
          <w:bCs/>
          <w:color w:val="1B1C1D"/>
          <w:kern w:val="0"/>
          <w:sz w:val="27"/>
          <w:szCs w:val="27"/>
          <w:bdr w:val="none" w:sz="0" w:space="0" w:color="auto" w:frame="1"/>
          <w:lang w:eastAsia="en-GB"/>
          <w14:ligatures w14:val="none"/>
        </w:rPr>
        <w:t>Partie III : Proposition de Modèle de Valorisation</w:t>
      </w:r>
    </w:p>
    <w:p w14:paraId="436B9885"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3.1. Hypothèses Clés</w:t>
      </w:r>
    </w:p>
    <w:p w14:paraId="11C6FFC9" w14:textId="77777777" w:rsidR="00CE61E4" w:rsidRPr="00CE61E4" w:rsidRDefault="00CE61E4" w:rsidP="00CE61E4">
      <w:pPr>
        <w:numPr>
          <w:ilvl w:val="0"/>
          <w:numId w:val="10"/>
        </w:num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lastRenderedPageBreak/>
        <w:t>Taux d'actualisation de 25% :</w:t>
      </w:r>
      <w:r w:rsidRPr="00CE61E4">
        <w:rPr>
          <w:rFonts w:ascii="Arial" w:eastAsia="Times New Roman" w:hAnsi="Arial" w:cs="Arial"/>
          <w:color w:val="1B1C1D"/>
          <w:kern w:val="0"/>
          <w:lang w:eastAsia="en-GB"/>
          <w14:ligatures w14:val="none"/>
        </w:rPr>
        <w:t xml:space="preserve"> Pour refléter les risques extrêmes de dépendance à une plateforme unique, de </w:t>
      </w:r>
      <w:r w:rsidRPr="00CE61E4">
        <w:rPr>
          <w:rFonts w:ascii="Arial" w:eastAsia="Times New Roman" w:hAnsi="Arial" w:cs="Arial"/>
          <w:b/>
          <w:bCs/>
          <w:color w:val="1B1C1D"/>
          <w:kern w:val="0"/>
          <w:bdr w:val="none" w:sz="0" w:space="0" w:color="auto" w:frame="1"/>
          <w:lang w:eastAsia="en-GB"/>
          <w14:ligatures w14:val="none"/>
        </w:rPr>
        <w:t>mort subite (dé-plateformisation)</w:t>
      </w:r>
      <w:r w:rsidRPr="00CE61E4">
        <w:rPr>
          <w:rFonts w:ascii="Arial" w:eastAsia="Times New Roman" w:hAnsi="Arial" w:cs="Arial"/>
          <w:color w:val="1B1C1D"/>
          <w:kern w:val="0"/>
          <w:lang w:eastAsia="en-GB"/>
          <w14:ligatures w14:val="none"/>
        </w:rPr>
        <w:t>, de fin de vie, d'une technologie propriétaire à comprendre sans documentations ni support et de mutation forcée et destructive du modèle économique.</w:t>
      </w:r>
    </w:p>
    <w:p w14:paraId="1A4F70DA" w14:textId="77777777" w:rsidR="00CE61E4" w:rsidRPr="00CE61E4" w:rsidRDefault="00CE61E4" w:rsidP="00CE61E4">
      <w:pPr>
        <w:numPr>
          <w:ilvl w:val="0"/>
          <w:numId w:val="10"/>
        </w:num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Valeur Terminale de 0 € :</w:t>
      </w:r>
      <w:r w:rsidRPr="00CE61E4">
        <w:rPr>
          <w:rFonts w:ascii="Arial" w:eastAsia="Times New Roman" w:hAnsi="Arial" w:cs="Arial"/>
          <w:color w:val="1B1C1D"/>
          <w:kern w:val="0"/>
          <w:lang w:eastAsia="en-GB"/>
          <w14:ligatures w14:val="none"/>
        </w:rPr>
        <w:t xml:space="preserve"> Justifiée par la fermeture probable de la plateforme à cet horizon.</w:t>
      </w:r>
    </w:p>
    <w:p w14:paraId="74A922D3" w14:textId="77777777" w:rsidR="00CE61E4" w:rsidRPr="00CE61E4" w:rsidRDefault="00CE61E4" w:rsidP="00CE61E4">
      <w:pPr>
        <w:numPr>
          <w:ilvl w:val="0"/>
          <w:numId w:val="10"/>
        </w:num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Investissements &amp; Coûts :</w:t>
      </w:r>
      <w:r w:rsidRPr="00CE61E4">
        <w:rPr>
          <w:rFonts w:ascii="Arial" w:eastAsia="Times New Roman" w:hAnsi="Arial" w:cs="Arial"/>
          <w:color w:val="1B1C1D"/>
          <w:kern w:val="0"/>
          <w:lang w:eastAsia="en-GB"/>
          <w14:ligatures w14:val="none"/>
        </w:rPr>
        <w:t xml:space="preserve"> Un investissement initial de </w:t>
      </w:r>
      <w:r w:rsidRPr="00CE61E4">
        <w:rPr>
          <w:rFonts w:ascii="Arial" w:eastAsia="Times New Roman" w:hAnsi="Arial" w:cs="Arial"/>
          <w:b/>
          <w:bCs/>
          <w:color w:val="1B1C1D"/>
          <w:kern w:val="0"/>
          <w:bdr w:val="none" w:sz="0" w:space="0" w:color="auto" w:frame="1"/>
          <w:lang w:eastAsia="en-GB"/>
          <w14:ligatures w14:val="none"/>
        </w:rPr>
        <w:t>110 000 € en 2026</w:t>
      </w:r>
      <w:r w:rsidRPr="00CE61E4">
        <w:rPr>
          <w:rFonts w:ascii="Arial" w:eastAsia="Times New Roman" w:hAnsi="Arial" w:cs="Arial"/>
          <w:color w:val="1B1C1D"/>
          <w:kern w:val="0"/>
          <w:lang w:eastAsia="en-GB"/>
          <w14:ligatures w14:val="none"/>
        </w:rPr>
        <w:t xml:space="preserve"> (prise en main, migration...), puis des </w:t>
      </w:r>
      <w:r w:rsidRPr="00CE61E4">
        <w:rPr>
          <w:rFonts w:ascii="Arial" w:eastAsia="Times New Roman" w:hAnsi="Arial" w:cs="Arial"/>
          <w:b/>
          <w:bCs/>
          <w:color w:val="1B1C1D"/>
          <w:kern w:val="0"/>
          <w:bdr w:val="none" w:sz="0" w:space="0" w:color="auto" w:frame="1"/>
          <w:lang w:eastAsia="en-GB"/>
          <w14:ligatures w14:val="none"/>
        </w:rPr>
        <w:t>coûts annuels fixes de 30 000 €</w:t>
      </w:r>
      <w:r w:rsidRPr="00CE61E4">
        <w:rPr>
          <w:rFonts w:ascii="Arial" w:eastAsia="Times New Roman" w:hAnsi="Arial" w:cs="Arial"/>
          <w:color w:val="1B1C1D"/>
          <w:kern w:val="0"/>
          <w:lang w:eastAsia="en-GB"/>
          <w14:ligatures w14:val="none"/>
        </w:rPr>
        <w:t xml:space="preserve"> (maintenance) auxquels s'ajoutent des coûts publicitaires pour tenter de ralentir le déclin.</w:t>
      </w:r>
    </w:p>
    <w:p w14:paraId="17A9EB5F"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3.2. Étape 1 : Calcul de la Valeur pour un Repreneur Hypothétique (DCF)</w:t>
      </w:r>
    </w:p>
    <w:tbl>
      <w:tblPr>
        <w:tblW w:w="0" w:type="auto"/>
        <w:tblCellSpacing w:w="15" w:type="dxa"/>
        <w:tblCellMar>
          <w:left w:w="0" w:type="dxa"/>
          <w:right w:w="0" w:type="dxa"/>
        </w:tblCellMar>
        <w:tblLook w:val="04A0" w:firstRow="1" w:lastRow="0" w:firstColumn="1" w:lastColumn="0" w:noHBand="0" w:noVBand="1"/>
      </w:tblPr>
      <w:tblGrid>
        <w:gridCol w:w="1235"/>
        <w:gridCol w:w="1689"/>
        <w:gridCol w:w="2700"/>
        <w:gridCol w:w="1383"/>
        <w:gridCol w:w="2003"/>
      </w:tblGrid>
      <w:tr w:rsidR="00CE61E4" w:rsidRPr="00CE61E4" w14:paraId="21346CBD" w14:textId="77777777" w:rsidTr="00CE61E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75295"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Année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80B60"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Bénéfice (EBE) Brut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93546"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 Investissements &amp; Coûts Totaux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D7846"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 Flux Net (FCF)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BF7F5"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Valeur Actualisée (à 25%)</w:t>
            </w:r>
          </w:p>
        </w:tc>
      </w:tr>
      <w:tr w:rsidR="00CE61E4" w:rsidRPr="00CE61E4" w14:paraId="6DA1DE09" w14:textId="77777777" w:rsidTr="00CE61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C565D"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A2777"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400 000 €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8FFD6"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110 000 €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B751B"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290 000 €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867C6"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232 000 €</w:t>
            </w:r>
          </w:p>
        </w:tc>
      </w:tr>
      <w:tr w:rsidR="00CE61E4" w:rsidRPr="00CE61E4" w14:paraId="57A54512" w14:textId="77777777" w:rsidTr="00CE61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FE791"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2027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39FE2"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260 000 €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984D4"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80 000 €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9B027"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180 000 €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79AAA"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115 200 €</w:t>
            </w:r>
          </w:p>
        </w:tc>
      </w:tr>
      <w:tr w:rsidR="00CE61E4" w:rsidRPr="00CE61E4" w14:paraId="3A6EE31B" w14:textId="77777777" w:rsidTr="00CE61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7B128"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2028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441C5"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170 000 €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BEE2C"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60 000 €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CCC06"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110 000 €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BEB4F"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56 320 €</w:t>
            </w:r>
          </w:p>
        </w:tc>
      </w:tr>
      <w:tr w:rsidR="00CE61E4" w:rsidRPr="00CE61E4" w14:paraId="0CEC9122" w14:textId="77777777" w:rsidTr="00CE61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B5F7F"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2029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B5911"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85 000 €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4910E"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45 000 €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DA28C"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40 000 €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1B43E"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16 384 €</w:t>
            </w:r>
          </w:p>
        </w:tc>
      </w:tr>
      <w:tr w:rsidR="00CE61E4" w:rsidRPr="00CE61E4" w14:paraId="5284BB66" w14:textId="77777777" w:rsidTr="00CE61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87A53"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2030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9AC1B"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50 000 €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C3524"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40 000 €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F7BCC"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10 000 €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D1327"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3 277 €</w:t>
            </w:r>
          </w:p>
        </w:tc>
      </w:tr>
      <w:tr w:rsidR="00CE61E4" w:rsidRPr="00CE61E4" w14:paraId="299C8A3B" w14:textId="77777777" w:rsidTr="00CE61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6180A"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50542" w14:textId="77777777" w:rsidR="00CE61E4" w:rsidRPr="00CE61E4" w:rsidRDefault="00CE61E4" w:rsidP="00CE61E4">
            <w:pPr>
              <w:rPr>
                <w:rFonts w:ascii="Arial" w:eastAsia="Times New Roman" w:hAnsi="Arial" w:cs="Arial"/>
                <w:color w:val="1B1C1D"/>
                <w:kern w:val="0"/>
                <w:lang w:eastAsia="en-GB"/>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795B6" w14:textId="77777777" w:rsidR="00CE61E4" w:rsidRPr="00CE61E4" w:rsidRDefault="00CE61E4" w:rsidP="00CE61E4">
            <w:pPr>
              <w:rPr>
                <w:rFonts w:ascii="Times New Roman" w:eastAsia="Times New Roman" w:hAnsi="Times New Roman" w:cs="Times New Roman"/>
                <w:kern w:val="0"/>
                <w:sz w:val="20"/>
                <w:szCs w:val="20"/>
                <w:lang w:eastAsia="en-GB"/>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72DC7" w14:textId="77777777" w:rsidR="00CE61E4" w:rsidRPr="00CE61E4" w:rsidRDefault="00CE61E4" w:rsidP="00CE61E4">
            <w:pPr>
              <w:rPr>
                <w:rFonts w:ascii="Times New Roman" w:eastAsia="Times New Roman" w:hAnsi="Times New Roman" w:cs="Times New Roman"/>
                <w:kern w:val="0"/>
                <w:sz w:val="20"/>
                <w:szCs w:val="20"/>
                <w:lang w:eastAsia="en-GB"/>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3E9C8"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~423 000 €</w:t>
            </w:r>
          </w:p>
        </w:tc>
      </w:tr>
    </w:tbl>
    <w:p w14:paraId="756FB48D" w14:textId="77777777" w:rsidR="00CE61E4" w:rsidRPr="00CE61E4" w:rsidRDefault="00CE61E4" w:rsidP="00CE61E4">
      <w:pPr>
        <w:spacing w:after="100" w:afterAutospacing="1"/>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3.3. Étape 2 : Application de la Décote d'Illiquidité</w:t>
      </w:r>
    </w:p>
    <w:p w14:paraId="596E6B20" w14:textId="77777777" w:rsidR="00CE61E4" w:rsidRPr="00CE61E4" w:rsidRDefault="00CE61E4" w:rsidP="00CE61E4">
      <w:pPr>
        <w:spacing w:after="100" w:afterAutospacing="1"/>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La valeur de 423 000 € représente la valeur économique théorique pour un repreneur. Comme établi en partie 1.3, il n'existe pas de marché réel pour cet actif. Il convient donc d'appliquer une décote pour refléter cette absence totale de liquidité. Une décote de 25% est justifiée.</w:t>
      </w:r>
    </w:p>
    <w:p w14:paraId="7C1085A9" w14:textId="77777777" w:rsidR="00CE61E4" w:rsidRPr="00CE61E4" w:rsidRDefault="00CE61E4" w:rsidP="00CE61E4">
      <w:pPr>
        <w:numPr>
          <w:ilvl w:val="0"/>
          <w:numId w:val="11"/>
        </w:num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Valeur d'Exploitation (post-DCF) :</w:t>
      </w:r>
      <w:r w:rsidRPr="00CE61E4">
        <w:rPr>
          <w:rFonts w:ascii="Arial" w:eastAsia="Times New Roman" w:hAnsi="Arial" w:cs="Arial"/>
          <w:color w:val="1B1C1D"/>
          <w:kern w:val="0"/>
          <w:lang w:eastAsia="en-GB"/>
          <w14:ligatures w14:val="none"/>
        </w:rPr>
        <w:t xml:space="preserve"> 423 000 €</w:t>
      </w:r>
    </w:p>
    <w:p w14:paraId="20E498D6" w14:textId="77777777" w:rsidR="00CE61E4" w:rsidRPr="00CE61E4" w:rsidRDefault="00CE61E4" w:rsidP="00CE61E4">
      <w:pPr>
        <w:numPr>
          <w:ilvl w:val="0"/>
          <w:numId w:val="11"/>
        </w:num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Décote d'Illiquidité (-25%) :</w:t>
      </w:r>
      <w:r w:rsidRPr="00CE61E4">
        <w:rPr>
          <w:rFonts w:ascii="Arial" w:eastAsia="Times New Roman" w:hAnsi="Arial" w:cs="Arial"/>
          <w:color w:val="1B1C1D"/>
          <w:kern w:val="0"/>
          <w:lang w:eastAsia="en-GB"/>
          <w14:ligatures w14:val="none"/>
        </w:rPr>
        <w:t xml:space="preserve"> - 105 750 €</w:t>
      </w:r>
    </w:p>
    <w:p w14:paraId="7CC8078E" w14:textId="77777777" w:rsidR="00CE61E4" w:rsidRPr="00CE61E4" w:rsidRDefault="00CE61E4" w:rsidP="00CE61E4">
      <w:pPr>
        <w:numPr>
          <w:ilvl w:val="0"/>
          <w:numId w:val="11"/>
        </w:num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Valeur d'Exploitation Finale (Ajustée) :</w:t>
      </w:r>
      <w:r w:rsidRPr="00CE61E4">
        <w:rPr>
          <w:rFonts w:ascii="Arial" w:eastAsia="Times New Roman" w:hAnsi="Arial" w:cs="Arial"/>
          <w:color w:val="1B1C1D"/>
          <w:kern w:val="0"/>
          <w:lang w:eastAsia="en-GB"/>
          <w14:ligatures w14:val="none"/>
        </w:rPr>
        <w:t xml:space="preserve"> </w:t>
      </w:r>
      <w:r w:rsidRPr="00CE61E4">
        <w:rPr>
          <w:rFonts w:ascii="Arial" w:eastAsia="Times New Roman" w:hAnsi="Arial" w:cs="Arial"/>
          <w:b/>
          <w:bCs/>
          <w:color w:val="1B1C1D"/>
          <w:kern w:val="0"/>
          <w:bdr w:val="none" w:sz="0" w:space="0" w:color="auto" w:frame="1"/>
          <w:lang w:eastAsia="en-GB"/>
          <w14:ligatures w14:val="none"/>
        </w:rPr>
        <w:t>317 250 €</w:t>
      </w:r>
    </w:p>
    <w:p w14:paraId="20D6CD2C" w14:textId="77777777" w:rsidR="00CE61E4" w:rsidRPr="00CE61E4" w:rsidRDefault="00BA01DD" w:rsidP="00CE61E4">
      <w:pPr>
        <w:spacing w:after="113"/>
        <w:rPr>
          <w:rFonts w:ascii="Arial" w:eastAsia="Times New Roman" w:hAnsi="Arial" w:cs="Arial"/>
          <w:color w:val="1B1C1D"/>
          <w:kern w:val="0"/>
          <w:lang w:eastAsia="en-GB"/>
          <w14:ligatures w14:val="none"/>
        </w:rPr>
      </w:pPr>
      <w:r w:rsidRPr="00BA01DD">
        <w:rPr>
          <w:rFonts w:ascii="Arial" w:eastAsia="Times New Roman" w:hAnsi="Arial" w:cs="Arial"/>
          <w:noProof/>
          <w:color w:val="1B1C1D"/>
          <w:kern w:val="0"/>
          <w:lang w:eastAsia="en-GB"/>
        </w:rPr>
        <w:pict w14:anchorId="3A96C9ED">
          <v:rect id="_x0000_i1025" alt="" style="width:451.3pt;height:.05pt;mso-width-percent:0;mso-height-percent:0;mso-width-percent:0;mso-height-percent:0" o:hralign="center" o:hrstd="t" o:hrnoshade="t" o:hr="t" fillcolor="gray" stroked="f"/>
        </w:pict>
      </w:r>
    </w:p>
    <w:p w14:paraId="6B89CAC0" w14:textId="77777777" w:rsidR="00CE61E4" w:rsidRPr="00CE61E4" w:rsidRDefault="00CE61E4" w:rsidP="00CE61E4">
      <w:pPr>
        <w:outlineLvl w:val="2"/>
        <w:rPr>
          <w:rFonts w:ascii="Arial" w:eastAsia="Times New Roman" w:hAnsi="Arial" w:cs="Arial"/>
          <w:b/>
          <w:bCs/>
          <w:color w:val="1B1C1D"/>
          <w:kern w:val="0"/>
          <w:sz w:val="27"/>
          <w:szCs w:val="27"/>
          <w:lang w:eastAsia="en-GB"/>
          <w14:ligatures w14:val="none"/>
        </w:rPr>
      </w:pPr>
      <w:r w:rsidRPr="00CE61E4">
        <w:rPr>
          <w:rFonts w:ascii="Arial" w:eastAsia="Times New Roman" w:hAnsi="Arial" w:cs="Arial"/>
          <w:b/>
          <w:bCs/>
          <w:color w:val="1B1C1D"/>
          <w:kern w:val="0"/>
          <w:sz w:val="27"/>
          <w:szCs w:val="27"/>
          <w:bdr w:val="none" w:sz="0" w:space="0" w:color="auto" w:frame="1"/>
          <w:lang w:eastAsia="en-GB"/>
          <w14:ligatures w14:val="none"/>
        </w:rPr>
        <w:t>Partie IV : Conclusion sur la Valorisation</w:t>
      </w:r>
    </w:p>
    <w:p w14:paraId="203429AE" w14:textId="77777777" w:rsidR="00CE61E4" w:rsidRPr="00CE61E4" w:rsidRDefault="00CE61E4" w:rsidP="00CE61E4">
      <w:pPr>
        <w:spacing w:after="120"/>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L'ensemble de cette analyse factuelle conduit à la valorisation suivante :</w:t>
      </w:r>
    </w:p>
    <w:p w14:paraId="0C2FAA57" w14:textId="77777777" w:rsidR="00CE61E4" w:rsidRPr="00CE61E4" w:rsidRDefault="00CE61E4" w:rsidP="00CE61E4">
      <w:pPr>
        <w:numPr>
          <w:ilvl w:val="0"/>
          <w:numId w:val="12"/>
        </w:num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Valeur d'Exploitation :</w:t>
      </w:r>
      <w:r w:rsidRPr="00CE61E4">
        <w:rPr>
          <w:rFonts w:ascii="Arial" w:eastAsia="Times New Roman" w:hAnsi="Arial" w:cs="Arial"/>
          <w:color w:val="1B1C1D"/>
          <w:kern w:val="0"/>
          <w:lang w:eastAsia="en-GB"/>
          <w14:ligatures w14:val="none"/>
        </w:rPr>
        <w:t xml:space="preserve"> Après calcul DCF et application de la décote d'illiquidité, la valeur d'exploitation finale s'établit à environ </w:t>
      </w:r>
      <w:r w:rsidRPr="00CE61E4">
        <w:rPr>
          <w:rFonts w:ascii="Arial" w:eastAsia="Times New Roman" w:hAnsi="Arial" w:cs="Arial"/>
          <w:b/>
          <w:bCs/>
          <w:color w:val="1B1C1D"/>
          <w:kern w:val="0"/>
          <w:bdr w:val="none" w:sz="0" w:space="0" w:color="auto" w:frame="1"/>
          <w:lang w:eastAsia="en-GB"/>
          <w14:ligatures w14:val="none"/>
        </w:rPr>
        <w:t>317 000 €</w:t>
      </w:r>
      <w:r w:rsidRPr="00CE61E4">
        <w:rPr>
          <w:rFonts w:ascii="Arial" w:eastAsia="Times New Roman" w:hAnsi="Arial" w:cs="Arial"/>
          <w:color w:val="1B1C1D"/>
          <w:kern w:val="0"/>
          <w:lang w:eastAsia="en-GB"/>
          <w14:ligatures w14:val="none"/>
        </w:rPr>
        <w:t>.</w:t>
      </w:r>
    </w:p>
    <w:p w14:paraId="1BA692F1" w14:textId="77777777" w:rsidR="00CE61E4" w:rsidRPr="00CE61E4" w:rsidRDefault="00CE61E4" w:rsidP="00CE61E4">
      <w:pPr>
        <w:numPr>
          <w:ilvl w:val="0"/>
          <w:numId w:val="12"/>
        </w:numPr>
        <w:rPr>
          <w:rFonts w:ascii="Arial" w:eastAsia="Times New Roman" w:hAnsi="Arial" w:cs="Arial"/>
          <w:color w:val="1B1C1D"/>
          <w:kern w:val="0"/>
          <w:lang w:eastAsia="en-GB"/>
          <w14:ligatures w14:val="none"/>
        </w:rPr>
      </w:pPr>
      <w:r w:rsidRPr="00CE61E4">
        <w:rPr>
          <w:rFonts w:ascii="Arial" w:eastAsia="Times New Roman" w:hAnsi="Arial" w:cs="Arial"/>
          <w:b/>
          <w:bCs/>
          <w:color w:val="1B1C1D"/>
          <w:kern w:val="0"/>
          <w:bdr w:val="none" w:sz="0" w:space="0" w:color="auto" w:frame="1"/>
          <w:lang w:eastAsia="en-GB"/>
          <w14:ligatures w14:val="none"/>
        </w:rPr>
        <w:t>Trésorerie Nette :</w:t>
      </w:r>
      <w:r w:rsidRPr="00CE61E4">
        <w:rPr>
          <w:rFonts w:ascii="Arial" w:eastAsia="Times New Roman" w:hAnsi="Arial" w:cs="Arial"/>
          <w:color w:val="1B1C1D"/>
          <w:kern w:val="0"/>
          <w:lang w:eastAsia="en-GB"/>
          <w14:ligatures w14:val="none"/>
        </w:rPr>
        <w:t xml:space="preserve"> La trésorerie nette de l'entreprise est estimée à </w:t>
      </w:r>
      <w:r w:rsidRPr="00CE61E4">
        <w:rPr>
          <w:rFonts w:ascii="Arial" w:eastAsia="Times New Roman" w:hAnsi="Arial" w:cs="Arial"/>
          <w:b/>
          <w:bCs/>
          <w:color w:val="1B1C1D"/>
          <w:kern w:val="0"/>
          <w:bdr w:val="none" w:sz="0" w:space="0" w:color="auto" w:frame="1"/>
          <w:lang w:eastAsia="en-GB"/>
          <w14:ligatures w14:val="none"/>
        </w:rPr>
        <w:t>1 500 000 €</w:t>
      </w:r>
      <w:r w:rsidRPr="00CE61E4">
        <w:rPr>
          <w:rFonts w:ascii="Arial" w:eastAsia="Times New Roman" w:hAnsi="Arial" w:cs="Arial"/>
          <w:color w:val="1B1C1D"/>
          <w:kern w:val="0"/>
          <w:lang w:eastAsia="en-GB"/>
          <w14:ligatures w14:val="none"/>
        </w:rPr>
        <w:t>.</w:t>
      </w:r>
    </w:p>
    <w:p w14:paraId="605FD807" w14:textId="77777777" w:rsidR="00CE61E4" w:rsidRPr="00CE61E4" w:rsidRDefault="00CE61E4" w:rsidP="00CE61E4">
      <w:pPr>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lastRenderedPageBreak/>
        <w:t xml:space="preserve">La </w:t>
      </w:r>
      <w:r w:rsidRPr="00CE61E4">
        <w:rPr>
          <w:rFonts w:ascii="Arial" w:eastAsia="Times New Roman" w:hAnsi="Arial" w:cs="Arial"/>
          <w:b/>
          <w:bCs/>
          <w:color w:val="1B1C1D"/>
          <w:kern w:val="0"/>
          <w:bdr w:val="none" w:sz="0" w:space="0" w:color="auto" w:frame="1"/>
          <w:lang w:eastAsia="en-GB"/>
          <w14:ligatures w14:val="none"/>
        </w:rPr>
        <w:t>valeur d'entreprise globale</w:t>
      </w:r>
      <w:r w:rsidRPr="00CE61E4">
        <w:rPr>
          <w:rFonts w:ascii="Arial" w:eastAsia="Times New Roman" w:hAnsi="Arial" w:cs="Arial"/>
          <w:color w:val="1B1C1D"/>
          <w:kern w:val="0"/>
          <w:lang w:eastAsia="en-GB"/>
          <w14:ligatures w14:val="none"/>
        </w:rPr>
        <w:t xml:space="preserve"> de la SASU, basée sur ce modèle, s'établit donc à environ </w:t>
      </w:r>
      <w:r w:rsidRPr="00CE61E4">
        <w:rPr>
          <w:rFonts w:ascii="Arial" w:eastAsia="Times New Roman" w:hAnsi="Arial" w:cs="Arial"/>
          <w:b/>
          <w:bCs/>
          <w:color w:val="1B1C1D"/>
          <w:kern w:val="0"/>
          <w:bdr w:val="none" w:sz="0" w:space="0" w:color="auto" w:frame="1"/>
          <w:lang w:eastAsia="en-GB"/>
          <w14:ligatures w14:val="none"/>
        </w:rPr>
        <w:t>1 820 000 €</w:t>
      </w:r>
      <w:r w:rsidRPr="00CE61E4">
        <w:rPr>
          <w:rFonts w:ascii="Arial" w:eastAsia="Times New Roman" w:hAnsi="Arial" w:cs="Arial"/>
          <w:color w:val="1B1C1D"/>
          <w:kern w:val="0"/>
          <w:lang w:eastAsia="en-GB"/>
          <w14:ligatures w14:val="none"/>
        </w:rPr>
        <w:t>.</w:t>
      </w:r>
    </w:p>
    <w:p w14:paraId="57EF7263" w14:textId="77777777" w:rsidR="00CE61E4" w:rsidRPr="00CE61E4" w:rsidRDefault="00CE61E4" w:rsidP="00CE61E4">
      <w:pPr>
        <w:spacing w:after="240"/>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Je me tiens à votre entière disposition pour discuter en détail de chacun de ces points et vous fournir toute l'information complémentaire nécessaire à votre expertise.</w:t>
      </w:r>
    </w:p>
    <w:p w14:paraId="180424BF" w14:textId="77777777" w:rsidR="00CE61E4" w:rsidRPr="00CE61E4" w:rsidRDefault="00CE61E4" w:rsidP="00CE61E4">
      <w:pPr>
        <w:spacing w:after="240"/>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Je vous prie d'agréer, Cher Maître / Chère Madame / Cher Monsieur, l'expression de mes salutations distinguées.</w:t>
      </w:r>
    </w:p>
    <w:p w14:paraId="720272A0" w14:textId="77777777" w:rsidR="00CE61E4" w:rsidRPr="00CE61E4" w:rsidRDefault="00CE61E4" w:rsidP="00CE61E4">
      <w:pPr>
        <w:spacing w:after="240"/>
        <w:rPr>
          <w:rFonts w:ascii="Arial" w:eastAsia="Times New Roman" w:hAnsi="Arial" w:cs="Arial"/>
          <w:color w:val="1B1C1D"/>
          <w:kern w:val="0"/>
          <w:lang w:eastAsia="en-GB"/>
          <w14:ligatures w14:val="none"/>
        </w:rPr>
      </w:pPr>
      <w:r w:rsidRPr="00CE61E4">
        <w:rPr>
          <w:rFonts w:ascii="Arial" w:eastAsia="Times New Roman" w:hAnsi="Arial" w:cs="Arial"/>
          <w:color w:val="1B1C1D"/>
          <w:kern w:val="0"/>
          <w:lang w:eastAsia="en-GB"/>
          <w14:ligatures w14:val="none"/>
        </w:rPr>
        <w:t>[Votre Nom]</w:t>
      </w:r>
    </w:p>
    <w:p w14:paraId="6036A006" w14:textId="77777777" w:rsidR="009C5EE9" w:rsidRPr="00CE61E4" w:rsidRDefault="009C5EE9" w:rsidP="00CE61E4"/>
    <w:sectPr w:rsidR="009C5EE9" w:rsidRPr="00CE61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8F3"/>
    <w:multiLevelType w:val="multilevel"/>
    <w:tmpl w:val="9752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E7A07"/>
    <w:multiLevelType w:val="multilevel"/>
    <w:tmpl w:val="78421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705D3"/>
    <w:multiLevelType w:val="multilevel"/>
    <w:tmpl w:val="1C3A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66BC2"/>
    <w:multiLevelType w:val="multilevel"/>
    <w:tmpl w:val="96AE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F0234"/>
    <w:multiLevelType w:val="multilevel"/>
    <w:tmpl w:val="6A083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25F32"/>
    <w:multiLevelType w:val="multilevel"/>
    <w:tmpl w:val="873A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F1802"/>
    <w:multiLevelType w:val="multilevel"/>
    <w:tmpl w:val="853C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34342F"/>
    <w:multiLevelType w:val="multilevel"/>
    <w:tmpl w:val="723E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473C93"/>
    <w:multiLevelType w:val="multilevel"/>
    <w:tmpl w:val="2F44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15710A"/>
    <w:multiLevelType w:val="multilevel"/>
    <w:tmpl w:val="D87E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3D4E7D"/>
    <w:multiLevelType w:val="multilevel"/>
    <w:tmpl w:val="D044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C45CD1"/>
    <w:multiLevelType w:val="multilevel"/>
    <w:tmpl w:val="F858C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646960">
    <w:abstractNumId w:val="7"/>
  </w:num>
  <w:num w:numId="2" w16cid:durableId="1966036928">
    <w:abstractNumId w:val="6"/>
  </w:num>
  <w:num w:numId="3" w16cid:durableId="1214002826">
    <w:abstractNumId w:val="4"/>
  </w:num>
  <w:num w:numId="4" w16cid:durableId="187641169">
    <w:abstractNumId w:val="11"/>
  </w:num>
  <w:num w:numId="5" w16cid:durableId="1420296485">
    <w:abstractNumId w:val="5"/>
  </w:num>
  <w:num w:numId="6" w16cid:durableId="386227502">
    <w:abstractNumId w:val="1"/>
  </w:num>
  <w:num w:numId="7" w16cid:durableId="10617904">
    <w:abstractNumId w:val="0"/>
  </w:num>
  <w:num w:numId="8" w16cid:durableId="1653215600">
    <w:abstractNumId w:val="9"/>
  </w:num>
  <w:num w:numId="9" w16cid:durableId="1947082126">
    <w:abstractNumId w:val="3"/>
  </w:num>
  <w:num w:numId="10" w16cid:durableId="1677151805">
    <w:abstractNumId w:val="10"/>
  </w:num>
  <w:num w:numId="11" w16cid:durableId="160389109">
    <w:abstractNumId w:val="8"/>
  </w:num>
  <w:num w:numId="12" w16cid:durableId="5319160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166"/>
    <w:rsid w:val="003045A0"/>
    <w:rsid w:val="004A3642"/>
    <w:rsid w:val="00562B3B"/>
    <w:rsid w:val="005E601E"/>
    <w:rsid w:val="009C5EE9"/>
    <w:rsid w:val="00AB6DD6"/>
    <w:rsid w:val="00B84166"/>
    <w:rsid w:val="00BA01DD"/>
    <w:rsid w:val="00CE61E4"/>
    <w:rsid w:val="00DE1186"/>
    <w:rsid w:val="00F840F1"/>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AEF70"/>
  <w15:chartTrackingRefBased/>
  <w15:docId w15:val="{2C150ABE-1F40-774C-9509-517A77318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4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41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1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1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1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1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1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1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1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41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4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166"/>
    <w:rPr>
      <w:rFonts w:eastAsiaTheme="majorEastAsia" w:cstheme="majorBidi"/>
      <w:color w:val="272727" w:themeColor="text1" w:themeTint="D8"/>
    </w:rPr>
  </w:style>
  <w:style w:type="paragraph" w:styleId="Title">
    <w:name w:val="Title"/>
    <w:basedOn w:val="Normal"/>
    <w:next w:val="Normal"/>
    <w:link w:val="TitleChar"/>
    <w:uiPriority w:val="10"/>
    <w:qFormat/>
    <w:rsid w:val="00B841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16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1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4166"/>
    <w:rPr>
      <w:i/>
      <w:iCs/>
      <w:color w:val="404040" w:themeColor="text1" w:themeTint="BF"/>
    </w:rPr>
  </w:style>
  <w:style w:type="paragraph" w:styleId="ListParagraph">
    <w:name w:val="List Paragraph"/>
    <w:basedOn w:val="Normal"/>
    <w:uiPriority w:val="34"/>
    <w:qFormat/>
    <w:rsid w:val="00B84166"/>
    <w:pPr>
      <w:ind w:left="720"/>
      <w:contextualSpacing/>
    </w:pPr>
  </w:style>
  <w:style w:type="character" w:styleId="IntenseEmphasis">
    <w:name w:val="Intense Emphasis"/>
    <w:basedOn w:val="DefaultParagraphFont"/>
    <w:uiPriority w:val="21"/>
    <w:qFormat/>
    <w:rsid w:val="00B84166"/>
    <w:rPr>
      <w:i/>
      <w:iCs/>
      <w:color w:val="0F4761" w:themeColor="accent1" w:themeShade="BF"/>
    </w:rPr>
  </w:style>
  <w:style w:type="paragraph" w:styleId="IntenseQuote">
    <w:name w:val="Intense Quote"/>
    <w:basedOn w:val="Normal"/>
    <w:next w:val="Normal"/>
    <w:link w:val="IntenseQuoteChar"/>
    <w:uiPriority w:val="30"/>
    <w:qFormat/>
    <w:rsid w:val="00B84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166"/>
    <w:rPr>
      <w:i/>
      <w:iCs/>
      <w:color w:val="0F4761" w:themeColor="accent1" w:themeShade="BF"/>
    </w:rPr>
  </w:style>
  <w:style w:type="character" w:styleId="IntenseReference">
    <w:name w:val="Intense Reference"/>
    <w:basedOn w:val="DefaultParagraphFont"/>
    <w:uiPriority w:val="32"/>
    <w:qFormat/>
    <w:rsid w:val="00B84166"/>
    <w:rPr>
      <w:b/>
      <w:bCs/>
      <w:smallCaps/>
      <w:color w:val="0F4761" w:themeColor="accent1" w:themeShade="BF"/>
      <w:spacing w:val="5"/>
    </w:rPr>
  </w:style>
  <w:style w:type="paragraph" w:styleId="NormalWeb">
    <w:name w:val="Normal (Web)"/>
    <w:basedOn w:val="Normal"/>
    <w:uiPriority w:val="99"/>
    <w:semiHidden/>
    <w:unhideWhenUsed/>
    <w:rsid w:val="00B84166"/>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054126">
      <w:bodyDiv w:val="1"/>
      <w:marLeft w:val="0"/>
      <w:marRight w:val="0"/>
      <w:marTop w:val="0"/>
      <w:marBottom w:val="0"/>
      <w:divBdr>
        <w:top w:val="none" w:sz="0" w:space="0" w:color="auto"/>
        <w:left w:val="none" w:sz="0" w:space="0" w:color="auto"/>
        <w:bottom w:val="none" w:sz="0" w:space="0" w:color="auto"/>
        <w:right w:val="none" w:sz="0" w:space="0" w:color="auto"/>
      </w:divBdr>
    </w:div>
    <w:div w:id="835876849">
      <w:bodyDiv w:val="1"/>
      <w:marLeft w:val="0"/>
      <w:marRight w:val="0"/>
      <w:marTop w:val="0"/>
      <w:marBottom w:val="0"/>
      <w:divBdr>
        <w:top w:val="none" w:sz="0" w:space="0" w:color="auto"/>
        <w:left w:val="none" w:sz="0" w:space="0" w:color="auto"/>
        <w:bottom w:val="none" w:sz="0" w:space="0" w:color="auto"/>
        <w:right w:val="none" w:sz="0" w:space="0" w:color="auto"/>
      </w:divBdr>
    </w:div>
    <w:div w:id="194001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1100</Words>
  <Characters>6276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Jean-Claude Cottier</dc:creator>
  <cp:keywords/>
  <dc:description/>
  <cp:lastModifiedBy>Jean-Claude Cottier</cp:lastModifiedBy>
  <cp:revision>2</cp:revision>
  <dcterms:created xsi:type="dcterms:W3CDTF">2025-09-26T13:16:00Z</dcterms:created>
  <dcterms:modified xsi:type="dcterms:W3CDTF">2025-10-01T17:42:00Z</dcterms:modified>
</cp:coreProperties>
</file>