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00"/>
              <w:left w:type="dxa" w:w="400"/>
              <w:bottom w:type="dxa" w:w="180"/>
              <w:right w:type="dxa" w:w="4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EC8F0"/>
                <w:spacing w:val="100"/>
                <w:sz w:val="15"/>
                <w:szCs w:val="15"/>
              </w:rPr>
              <w:t xml:space="preserve">PRODUCT REQUIREMENTS DOCUMENT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Content Publishing Pipeline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0BCD8"/>
                <w:sz w:val="20"/>
                <w:szCs w:val="20"/>
              </w:rPr>
              <w:t xml:space="preserve">Hosted Artifact URLs · ConvertKit Integration · Webflow/WordPress Publish · PDF Hosting · One-Click Deploy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SIM-PRD-PUB-001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Gap addressed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 5 — SEO articles, sales pages, lead magnet PDFs, and waitlist landing pages are produced as DOCX/HTML artifacts but have no mechanism to reach the web. L3/L4 agents cannot generate automated income without published content.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Agents unblocked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seo_content_calendar · sales_page · waitlist_landing_page · lead_magnet_funnel · newsletter_monetization · youtube_podcast_strategy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Integrates with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SIM-PRD-INC-001 (L3/L4 income auto-capture) · SIM-PRD-GCC-002 (GCC artifact box — live URLs) · SIM-PRD-CRM-001 v1.1 (ConvertKit subscriber metric feeds momentum) · SIM-PRD-CHAT-001 (chat can trigger deploy actions)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Jean Moussa Delphonse · Bay Area Experiences Ventures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B72" w:sz="18"/>
              <w:bottom w:val="none" w:color="FFFFFF" w:sz="0"/>
              <w:right w:val="none" w:color="FFFFFF" w:sz="0"/>
            </w:tcBorders>
            <w:shd w:fill="D6E4F5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content publishing gap has two distinct parts: (1) long-form content (SEO articles, e-books, lead magnet PDFs) needs a hosting URL the user can share and embed; (2) interactive pages (sales pages, waitlist landing pages) need to deploy to a real URL. This PRD specifies Simulacrum-hosted URLs for documents and PDFs, ConvertKit integration for list-building pages, and a direct publish integration for sales pages.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1. Simulacrum-Hosted Artifact URLs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PDF and Document Hosting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artifact that produces a deliverable file (PDF lead magnet, DOCX e-book, SEO article) gets a Simulacrum-hosted public URL at the time the artifact is created. This URL is embedded in the GCC artifact key-value box and can be shared directly by the user.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3B" w:sz="2"/>
              <w:left w:val="single" w:color="1B2B3B" w:sz="2"/>
              <w:bottom w:val="single" w:color="1B2B3B" w:sz="2"/>
              <w:right w:val="single" w:color="1B2B3B" w:sz="2"/>
            </w:tcBorders>
            <w:shd w:fill="1B2B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After any agent action that produces a PDF or DOCX artifact: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publish_artifact_url(artifact_id, file_bytes, file_type, simulation_id):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Store in GoDaddy file storage (or S3-compatible)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file_path = f'artifacts/{simulation_id}/{artifact_id}.{file_type}'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storage.put(file_path, file_bytes, public=True)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Generate signed public URL (or permanent public URL for PDF/DOCX)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public_url = f'{BASE_URL}/artifacts/{artifact_id}',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Update artifact_versions with public_url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ArtifactVersion.query.filter_by(artifact_id=artifact_id).update(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{'public_url': public_url})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db.session.commit()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public_url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Public artifact endpoint — no auth required for published artifacts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@bp.route('/artifacts/&lt;artifact_id&gt;')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serve_artifact(artifact_id):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version = ArtifactVersion.query.filter_by(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artifact_id=artifact_id, is_current=True).first_or_404()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if not version.public_url: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abort(404)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send_file(version.file_path,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download_name=version.filename,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as_attachment=False)  # inline for PDF, download for DOCX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ConvertKit Integration — Waitlist and Lead Magnet Pages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waitlist_landing_page and lead_magnet_funnel agents create ConvertKit forms and sequences. The ConvertKit API integration publishes these forms and returns the embed code and hosted landing page URL that the user can share immediately.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3B" w:sz="2"/>
              <w:left w:val="single" w:color="1B2B3B" w:sz="2"/>
              <w:bottom w:val="single" w:color="1B2B3B" w:sz="2"/>
              <w:right w:val="single" w:color="1B2B3B" w:sz="2"/>
            </w:tcBorders>
            <w:shd w:fill="1B2B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deploy_convertkit_landing_page(user_id, artifact):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ck = ConvertKitClient(api_key=decrypt(get_integration(user_id,'convertkit').api_key))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Create form in ConvertKit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form = ck.forms.create(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name=artifact['form_name'],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type='landing_page',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settings={'success_message': artifact['success_message']},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Create nurture sequence and attach to form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sequence = ck.sequences.create(name=artifact['sequence_name'])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for i, email in enumerate(artifact['nurture_emails']):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ck.broadcasts.create(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subject=email['subject'],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content=email['body'],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sequence_id=sequence['id'],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delay_days=email['delay_days']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ck.forms.add_sequence(form['id'], sequence['id'])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Return hosted URL and embed code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'hosted_url': form['url'],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'embed_code': f'&lt;script src="{form["embed_js"]}"&gt;&lt;/script&gt;',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}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1.3 Sales Page Deployment — Hosted on Simulacrum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sales_page agent produces deployable HTML. For v1, this HTML is hosted on Simulacrum's own infrastructure at a user-specific subdirectory. Future versions will support Webflow and WordPress publishing. The hosted URL is shown in the GCC artifact box immediately after deployment.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3B" w:sz="2"/>
              <w:left w:val="single" w:color="1B2B3B" w:sz="2"/>
              <w:bottom w:val="single" w:color="1B2B3B" w:sz="2"/>
              <w:right w:val="single" w:color="1B2B3B" w:sz="2"/>
            </w:tcBorders>
            <w:shd w:fill="1B2B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Deploy sales page HTML to Simulacrum-hosted URL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deploy_sales_page(user_id, simulation_id, artifact_id, html_content):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slug = generate_slug(user_id, artifact_id)  # e.g. 'maya-brand-systems-course'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path = f'pages/{slug}/index.html'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storage.put(path, html_content.encode(), public=True,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content_type='text/html')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public_url = f'{BASE_URL}/p/{slug}'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ArtifactVersion.query.filter_by(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artifact_id=artifact_id, is_current=True).update(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{'public_url': public_url})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db.session.commit()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public_url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Route: serves user-published pages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@bp.route('/p/&lt;slug&gt;')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serve_page(slug):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html = storage.get(f'pages/{slug}/index.html')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html, 200, {'Content-Type': 'text/html'}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2. Functional Requirements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FR-PUB-01: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Every agent action that produces a PDF or DOCX artifact automatically generates a Simulacrum-hosted public URL at artifact creation time. The URL is displayed in the GCC artifact key-value box and can be copied by the user.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FR-PUB-02: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waitlist_landing_page and lead_magnet_funnel agents deploy their generated forms and sequences to the user's connected ConvertKit account. ConvertKit connection required — escalated if not connected.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FR-PUB-03: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sales_page agent deploys its generated HTML to a Simulacrum-hosted URL at /p/:slug. The URL is available immediately after deployment and shown in the GCC artifact box.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FR-PUB-04: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Artifact_versions.public_url is populated for all file-producing artifacts. The GCC artifact key-value box shows the public_url as a clickable 'View live →' link when populated.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FR-PUB-05: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ConvertKit subscriber count is harvested at each Harvest step and updates the L2/L3/L4 momentum metrics in layer6_momentum. Subscriber count changes publish harvest_complete SSE events to the GCC.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3. Sprint Plan — 10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c>
          <w:tcPr>
            <w:tcW w:type="dxa" w:w="1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6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63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Day 1–2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 hosting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Simulacrum-hosted artifact URL generation. storage.put() and serve_artifact() endpoint. public_url column on artifact_versions. GCC artifact box 'View live →' link.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Day 3–4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ConvertKit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ConvertKit API key integration in user_integrations. deploy_convertkit_landing_page(): form creation, sequence creation, email scheduling, hosted URL return. ConvertKit subscriber harvest in Harvest step.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Day 5–6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Sales page deploy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deploy_sales_page(): HTML storage, slug generation, /p/:slug route. Slug collision handling. Artifact URL update.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Day 7–8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wiring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Wire publish calls into post-artifact-creation flow for all 6 affected agents. Public URL embedded in artifact output visible in GCC.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Day 9–10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0EE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E2E: waitlist_landing_page agent → ConvertKit form created → hosted URL in GCC → subscriber adds → harvest_complete SSE → GCC momentum updates.</w:t>
            </w:r>
          </w:p>
        </w:tc>
      </w:tr>
    </w:tbl>
    <w:p>
      <w:pPr>
        <w:pBdr>
          <w:bottom w:val="single" w:color="0F7B72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SIM-PRD-PUB-001  ·  Content Publishing Pipeline v1.1  ·  v1.0  ·  April 2026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Jean Moussa Delphonse  ·  Bay Area Experiences Ventures  ·  Confidential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4"/>
        <w:szCs w:val="14"/>
      </w:rPr>
      <w:t xml:space="preserve">Jean Moussa Delphonse  |  Bay Area Experiences Ventures  |  April 2026</w:t>
    </w:r>
    <w:r>
      <w:rPr>
        <w:rFonts w:ascii="Arial" w:cs="Arial" w:eastAsia="Arial" w:hAnsi="Arial"/>
        <w:color w:val="666666"/>
        <w:sz w:val="14"/>
        <w:szCs w:val="14"/>
      </w:rPr>
      <w:t xml:space="preserve">	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B72" w:sz="4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0F7B72"/>
        <w:sz w:val="16"/>
        <w:szCs w:val="16"/>
      </w:rPr>
      <w:t xml:space="preserve">Simulacrum — Content Publishing Pipeline</w:t>
    </w:r>
    <w:r>
      <w:rPr>
        <w:rFonts w:ascii="Arial" w:cs="Arial" w:eastAsia="Arial" w:hAnsi="Arial"/>
        <w:color w:val="666666"/>
        <w:sz w:val="16"/>
        <w:szCs w:val="16"/>
      </w:rPr>
      <w:t xml:space="preserve">	SIM-PRD-PUB-001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2026-05-05T21:10:28.341Z</dcterms:created>
  <dcterms:modified xsi:type="dcterms:W3CDTF">2026-05-05T21:10:28.341Z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