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200"/>
              <w:left w:type="dxa" w:w="400"/>
              <w:bottom w:type="dxa" w:w="180"/>
              <w:right w:type="dxa" w:w="4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EC8F0"/>
                <w:spacing w:val="100"/>
                <w:sz w:val="15"/>
                <w:szCs w:val="15"/>
              </w:rPr>
              <w:t xml:space="preserve">PRODUCT REQUIREMENTS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Wealth Pyramid Launchpad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A0BCD8"/>
                <w:sz w:val="20"/>
                <w:szCs w:val="20"/>
              </w:rPr>
              <w:t xml:space="preserve">AI Analysis + Agent Grid · Configure &amp; Run · Per-Opportunity Revenue · Per-Agent Parameters</w:t>
            </w:r>
          </w:p>
        </w:tc>
      </w:tr>
    </w:tbl>
    <w:p>
      <w:pPr>
        <w:spacing w:after="1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SIM-PRD-PYRAMID-001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Route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/simulations/:id — the simulation detail page. This is the page the user lands on after creating a simulation or clicking a simulation from the Dashboard.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Two-part page per layer. Part 1: AI Analysis — opportunities with revenue ranges, channels, AI reasoning, evidence from background, automation level, and launch timeline. Part 2: Agent Grid — complete set of all agents for that layer with status indicators, configurable parameters, and Run Agent capability. Configuration slide-over panel for parameter input.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Design source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Prototype delivered as wealth_pyramid_launchpad.jsx. Screenshots of the live Wealth Pyramid page inform Part 1 layout. Agent Launchpad concept informs Part 2 layout.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SIM-PRD-ORCH-001 v2.0 (orchestrator receives Run Agent requests), SIM-PRD-GCC-002 (Growth Command Center linked from header), SIM-PRD-VIEW-001 (View artifact links from completed agents), SIM-PRD-WIRE-001 v1.1 (integration deployment after agent runs), SIM-PRD-HOME-001 (design system tokens).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5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June 2026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72" w:sz="18"/>
              <w:bottom w:val="none" w:color="FFFFFF" w:sz="0"/>
              <w:right w:val="none" w:color="FFFFFF" w:sz="0"/>
            </w:tcBorders>
            <w:shd w:fill="D6E4F5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page serves two purposes in one view. First, it shows the user what the AI found — income opportunities grounded in their resume, with revenue estimates, channels, and reasoning. Second, it lets the user act on those opportunities immediately — selecting agents, configuring their parameters, and running them. The user never has to navigate away from the simulation page to start executing. Strategy and execution live on the same screen.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1. Page Architecture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Route and Access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Wealth Pyramid Launchpad renders at /simulations/:id. It is accessible to authenticated users who own the simulation and to partner advisors with read-only access (per SIM-PRD-PART-002). The page loads the simulation record, the wealth pyramid analysis (generated during the initial simulation run), and the current status of all 49 agents.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Page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'COMPLETE' green pill badge when the initial wealth analysis has finished generating. 'GENERATING' amber badge while the first simulation cycle is running. 'PAUSED' grey badge if the simulation is paused.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Creation date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'Created [date]' in muted 13px text next to the status badge.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'Your Wealth Pyramid' in Playfair Display 700, 28px, navy. Subtitle: '5 layers from active income to automated wealth deployment' in DM Sans 400, 15px, muted.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Three buttons right-aligned: 'Export PDF' (outlined, Download icon), 'Share' (outlined, Share2 icon), '⚡ Growth Command Center' (filled teal, links to /simulations/:id/gcc). Export generates a PDF of the wealth pyramid analysis (Part 1 only — not the agent grid). Share generates a public link to a read-only version.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Layer Accordion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five layers render as collapsible accordion sections. Only one layer is expanded at a time (clicking a layer header collapses the currently expanded layer and expands the clicked one). Default: L1 is expanded on page load. Each layer header shows the layer badge, title, subtitle, agent status counts, priority badge, and a chevron indicator.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 icon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44x44px rounded square with 10% opacity layer color background. Layer-specific icon: L1 Briefcase, L2 Mic, L3 BookOpen, L4 TrendingUp, L5 Shield.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 badge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11px bold white text on layer color background. 'L1' through 'L5'. Border-radius 4px.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Title + subtitle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Playfair Display 700, 19px, navy: 'Active Income'. DM Sans 400, 14px, muted: '— 1:1 Time-for-Money'.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 counts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Three inline counts in 12px text: '[N] done' (green), '[N] running' (amber), '[N] ready' (purple). Only shown if count &gt; 0.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Priority badge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'HIGH PRIORITY' (gold background, amber text) or 'MEDIUM PRIORITY' (grey background, muted text). Pill shape, 10px uppercase.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Chevron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18px ChevronDown icon. Rotates 180deg when expanded. 200ms transition.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Left border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 solid in layer color. Consistent with GCC My Layers pattern.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2. Part 1 — AI Analysis (Opportunities)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top section of each expanded layer shows the AI-generated wealth analysis. This content is produced during the initial simulation run and stored as the simulation's wealth_pyramid artifact. It does not change between cycles — it is the strategic foundation that agents execute against.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Section Header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Brain icon + 'AI ANALYSIS — OPPORTUNITIES' label in layer color, 12px uppercase with 1px letter-spacing. Positioned at the top of the expanded layer content.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Positioning Paragraph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Container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Off-white (#fafbfc) background, 12px border-radius, 3px left border in layer color. Padding: 16px 20px.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AI's analysis of why the user's background fits this income layer. 14px DM Sans 400, color #4a5568, line-height 1.7. One paragraph, typically 2-4 sentences. Generated by Claude during the simulation run using the expertise extraction from onboarding.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wealth_pyramid.layers[layer_number].positioning_paragraph from the simulation artifact.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Opportunity Cards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opportunity is a card showing a specific income opportunity the AI identified for this user at this layer. A layer typically has 3-6 opportunities. Each card is collapsible — the header is always visible, the AI reasoning expands on click.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Card container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White background, 1px border rgba(0,0,0,0.06), 12px border-radius, 3px left border in layer color at 20% opacity. Bottom margin 12px. Hover: subtle shadow (0 4px 16px rgba(0,0,0,0.06)).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Service name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Playfair Display 700, 15px, navy. Left-aligned. The name of the income opportunity (e.g. 'Construction Lead Generation Workshops').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Revenue range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Right-aligned pill badge. 12px bold, teal text (#0F7B72), teal background (#D6F0EE), 6px border-radius. Shows monthly or per-engagement revenue estimate (e.g. '$1,500–$4,200/mo'). White-space: nowrap.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13px DM Sans 400, muted (#6b7b8d), line-height 1.5. One sentence describing what the user would actually deliver.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Channel tags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Horizontal flex wrap of pill tags. 9px bold uppercase with 0.3px letter-spacing, #4a5568 text on #f0f1f3 background, 4px border-radius. Channels where the user would find clients (e.g. 'LOCAL BUSINESS ASSOCIATIONS', 'LINKEDIN SALES NAVIGATOR').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Reasoning toggle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Sparkles icon + 'AI Reasoning &amp; Evidence' text in layer color, 11px bold. ChevronDown rotates on expand. Click toggles the reasoning section.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Reasoning (expanded)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Bordered top (1px rgba(0,0,0,0.04)). Reasoning paragraph: 13px, #4a5568, line-height 1.7. 'Evidence from your background:' bold label followed by bullet points (4px circle dots, 12px muted text). Automation and Launch tags at bottom (10px text in bordered pills).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wealth_pyramid.layers[layer_number].opportunities[index] from the simulation artifact. Each opportunity has: name, revenue_range, description, channels[], reasoning, evidence[], automation_level, launch_timeline.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Refine This Layer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Below the last opportunity card: 'Refine this layer →' button. Outlined style (1px border #d0d5dd, white background, DM Sans 500, 12px). Sparkles icon. Click opens the Simi chat co-pilot with a pre-filled prompt: 'I want to refine my Layer [N] opportunities. Current opportunities: [list names]. What changes would you suggest?' The co-pilot can regenerate the wealth pyramid analysis for this layer.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3. Part 2 — Agent Grid (Execute)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Below the AI Analysis section, separated by a 2px horizontal rule, the complete agent grid for this layer. This is the execution layer — every agent available for this layer is shown as a card, configurable, and runnable.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Section Header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Layers icon + 'EXECUTE — ALL L[N] AGENTS' label in layer color, 12px uppercase with 1px letter-spacing. Right-aligned: '[N] agents · [N] complete · [N] ready' in 12px muted text.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Agent Card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Grid layout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CSS grid: repeat(auto-fill, minmax(195px, 1fr)). Gap: 10px. Responsive: 4 columns on desktop, 2 on tablet, 1 on mobile.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Card container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White background, 10px border-radius, 14px padding. Border: 1px solid rgba(0,0,0,0.06). Available agents: border color changes to layer color at 30% opacity. Hover (non-locked): translateY(-2px) + shadow. Locked: opacity 0.45, cursor default.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icon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32x32px rounded square (8px radius) with 10% opacity status color background. Icon from the agent's icon field. 15px size. Color: status color.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Top-right of card. 9px bold uppercase, status color text on status background. Border-radius 100px. Four states: 'DONE' (green), 'RUNNING' (amber), 'READY' (purple), 'LOCKED' (grey).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Agent name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13px DM Sans 600, navy. Below the icon row.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11px DM Sans 400, muted, line-height 1.4. One-line description of what the agent produces.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Action link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Bottom of card. Status-dependent: Available → 'Configure &amp; Run →' (layer color, Settings icon). Complete → 'View artifact →' (green, Check icon). Running → 'Running...' (amber, Clock icon). Locked → 'Prerequisites needed' (grey, Lock icon).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Click behavior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Available: opens configuration slide-over (Section 4). Complete: opens configuration slide-over with 'Already completed' banner and 'Re-run Agent' button. Running: no action (agent is mid-execution). Locked: no action (prerequisites not met).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Agent Counts Per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11 agents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Rate Card, LinkedIn Profile, Booking Page, Cold Email, Consulting Outreach, Role Search, Consulting Proposal, SOW Template, Agreement Template, Referral Network, Rate Negotiation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L2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 agents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Speaking Proposals, Speaker Fee Rider, Group Coaching, Corporate Training, Workshop Curriculum, Waitlist Page, Alumni Reactivation, Workshop ROI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L3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 agents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Course Curriculum, Pricing Research, Sales Page, E-Book/Guide, A/B Test Plan, Membership, Launch Sequence, Affiliate Program, Testimonials, Lapsed Buyer Reactivation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L4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 agents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 Content Calendar, Lead Magnet Funnel, Newsletter Monetization, SaaS Product Spec, IP Licensing, Affiliate Partnerships, Video/Podcast Strategy, Community Flywheel, Programmatic Ads, Client Win-Back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L5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 agents</w:t>
            </w:r>
          </w:p>
        </w:tc>
        <w:tc>
          <w:tcPr>
            <w:tcW w:type="dxa" w:w="6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Income Allocation, Compound Projections, Fund Recommendations, Investment Policy Statement, Real Estate Strategy, Tax Optimization, Entity Structure, DCA Schedule, Insurance Review, Estate Planning Brief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49 agents are shown across all 5 layers. Every agent the platform supports appears in the grid — no agents are hidden. Locked agents are dimmed but visible, showing the user what becomes available as they progress.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4. Configuration Slide-Over Panel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user clicks an available or completed agent card, a slide-over panel opens from the right side of the screen. The panel contains the agent's configurable parameters and a Run Agent button. The backdrop dims and blurs.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Panel dimensions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Fixed right, top to bottom, 440px wide. White background. Box-shadow: -8px 0 32px rgba(0,0,0,0.12). z-index: 200.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Backdrop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Covers entire viewport. Background: rgba(0,0,0,0.3) with backdrop-filter: blur(4px). Click backdrop → close panel.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20px 24px padding. Agent name (18px DM Sans 600, navy). Description (13px muted). X close button (20px, right-aligned).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Body (scrollable)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Flex: 1 with overflow: auto. 24px padding. Contains the completion banner (if applicable), parameter form, and integration info.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Footer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 24px padding. 1px top border. Two buttons: Cancel (outlined, flex 1) and Run Agent (filled teal, flex 2, Play icon). If agent is complete: button says 'Re-run Agent'.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Completion Banner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 agent's status is 'complete', a green info box appears at the top of the panel body: green background (#E6F7EF), Check icon, bold text 'Already completed', and subtitle 'Re-run with different parameters to generate a new version.' This tells the user they can re-run with different inputs without losing the existing artifact (version history is preserved per SIM-PRD-VIEW-001).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Parameter Form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agent has zero or more configurable parameters. Parameters are rendered as form fields. If the agent has no parameters, a placeholder card appears: Settings icon (24px grey) + 'No configurable parameters' + 'Runs with simulation defaults.' Parameter types: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Rendering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Full-width dropdown. Options defined per agent. DM Sans 400, 14px. Border: 1px solid #d0d5dd. Focus: teal border per design system. Default value pre-selected.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Full-width text input. Placeholder text in muted color hints at expected input (e.g. 'e.g. Construction, SaaS'). DM Sans 400, 14px.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toggle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44x24px toggle switch. Teal when on, grey (#d0d5dd) when off. 18px white circle with shadow. 200ms transition.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textarea</w:t>
            </w:r>
          </w:p>
        </w:tc>
        <w:tc>
          <w:tcPr>
            <w:tcW w:type="dxa" w:w="7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Full-width textarea for longer inputs (project scope). 3 rows default, resizable. DM Sans 400, 14px.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4.4 Agent Parameters — Per-Agent Specification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agent's configurable parameters are listed below. Agents not listed have no parameters (they run with simulation defaults from the expertise extraction and rate card).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rate_card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tier_count (select: 3/4/5, default 4), pricing_anchor (select: Conservative/Balanced/Aggressive, default Balanced)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linkedin_optimization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tone (select: Understated/Confident/Bold, default Confident)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booking_page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session_types (select: 2/3/4, default 3), free_discovery (toggle, default on)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cold_email_campaign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prospect_count (select: 15/25/50, default 25), target_industry (text), target_titles (text), company_size (select: 1-50/51-200/201-500/500+/Any, default 51-200), sequence_steps (select: 2/3/4, default 3)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consulting_outreach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prospect_count (select: 5/10/15, default 10), focus_hint (text)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role_search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prospect_count (select: 15/25/50, default 25), target_titles (text)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consulting_proposal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client_name (text), project_scope (text), rate_card_tier (select: Tier 1-4/Custom), payment_terms (select: 100% upfront/50-50/Net 30/Milestone, default 50-50)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sow_template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sow_type (select: Fixed scope/Time &amp; materials/Retainer, default Fixed scope)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agreement_template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agreement_type (select: MSA/NDA/Service Agreement/IC Agreement, default MSA)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referral_network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partner_count (select: 10/15/20, default 15), adjacent_fields (text)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speaking_proposals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pitch_count (select: 5/10/15, default 10), talk_topics (text)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group_coaching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cohort_size (select: 5/8/12/15, default 8), duration_weeks (select: 4/6/8/12, default 8)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course_curriculum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module_count (select: 6/8/10/12, default 10), course_level (select: Beginner/Intermediate/Advanced, default Intermediate)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lead_magnet_funnel</w:t>
            </w:r>
          </w:p>
        </w:tc>
        <w:tc>
          <w:tcPr>
            <w:tcW w:type="dxa" w:w="7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format (select: PDF checklist/PDF guide/Email course/Quiz, default PDF checklist), nurture_emails (select: 3/5/7, default 5)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4.5 Integration Info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Below the parameter form, an info card shows which integrations the agent deploys to. Off-white background (#fafbfc), 10px border-radius, 16px padding. Label: 'DEPLOYS TO' in 12px uppercase muted. Integration names as pill badges (11px, white background, 1px border #d0d5dd). Integration list sourced from AGENT_INTEGRATION_MAP per SIM-PRD-WIRE-001 v1.1.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4.6 Run Agent Flow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user clicks 'Run Agent' (or 'Re-run Agent'):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panel closes immediately. The agent card in the grid transitions to 'RUNNING' status (amber badge, Clock icon, 'Running...' 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POST request is sent to /api/simulations/:id/agents/:action_type/run with the configured parameters as the request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server creates an ActionQueueItem with status='pending', stores the parameters as prefill_inputs on the action record, and dispatches the agent as a Celery task (same execution path as orchestrator dispatch per SIM-PRD-ORCH-001 v2.0 Section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DAG is validated server-side before dispatch. If prerequisites are not met, the request returns a 422 error with the missing prerequisites listed. The panel re-opens with an error banner: 'Cannot run — [prerequisite agent] must complete first.'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the agent requires an integration that is not connected, the request returns a 422 with the missing integration. The panel re-opens with an error banner: 'Connect [integration] in Settings to run this agent.' Link to Settings →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successful dispatch, a toast notification appears: '[Agent name] is running — you will see the result in your Action Queue.' The user can continue browsing the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the agent completes (Celery task finishes), the card updates to 'DONE' status via a WebSocket push or polling. The 'View artifact →' link becomes active.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5. Data Model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Wealth Pyramid Artifact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Generated during initial simulation 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Stored as artifact_versions with action_type='wealth_pyramid'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wealth_pyramid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'layers':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'layer_number':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'label': 'Active Income',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'subtitle': '1:1 Time-for-Money',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'priority': 'high',  # high | medium | low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'positioning_paragraph': 'Your construction project...',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'opportunities':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'name': 'Construction Lead Generation Workshops',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'revenue_range': '$1,500–$4,200/mo',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'description': 'Deliver training sessions...',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'channels': ['Local Business Associations', ...],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'reasoning': 'Your proven lead gen process...',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'evidence': ['Use CRM to find leads', ...],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'automation_level': 'medium',  # low | medium | high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'launch_timeline': '6w',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# ... 3-6 opportunities per layer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# ... 5 layers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Agent Status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For each layer, query the current status of all agents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get_agent_statuses(simulation_id, layer_number):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agents = LAYER_AGENTS[layer_number]  # all agents for this layer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statuses = {}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 agent_type in agents: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latest = ActionQueueItem.query.filter_by(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simulation_id=simulation_id,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action_type=agent_type,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).order_by(ActionQueueItem.created_at.desc()).first()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latest and latest.status == 'complete':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statuses[agent_type] = 'complete'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elif latest and latest.status == 'in_progress':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statuses[agent_type] = 'in_progress'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elif check_prerequisites_exist(agent_type, simulation_id):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statuses[agent_type] = 'available'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statuses[agent_type] = 'locked'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statuses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Run Agent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B3B" w:sz="2"/>
              <w:left w:val="single" w:color="1B2B3B" w:sz="2"/>
              <w:bottom w:val="single" w:color="1B2B3B" w:sz="2"/>
              <w:right w:val="single" w:color="1B2B3B" w:sz="2"/>
            </w:tcBorders>
            <w:shd w:fill="1B2B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@bp.route('/api/simulations/&lt;sim_id&gt;/agents/&lt;action_type&gt;/run', methods=['POST'])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@login_required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run_agent(sim_id, action_type):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sim = Simulation.get_or_404(sim_id)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sim.user_id != current_user.id: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abort(403)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Validate DAG prerequisites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prereqs = AGENT_DAG.get(action_type, [])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missing = [p for p in prereqs if not artifact_exists(sim_id, p)]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missing: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jsonify({'error': 'prerequisite_missing',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'missing': missing}), 422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Validate integration availability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integrations = AGENT_INTEGRATION_MAP.get(action_type, [])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 integ in integrations: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if integ != 'crm' and not has_integration(sim_id, integ):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return jsonify({'error': 'integration_missing',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'integration': integ}), 422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Create action record with user-provided parameters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params = request.json.get('params', {})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 = ActionQueueItem.create(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simulation_id=sim_id,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action_type=action_type,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status='pending',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prefill_inputs=json.dumps(params),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source='manual',  # distinguishes from orchestrator-dispatched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Dispatch Celery task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task = execute_agent.delay(sim_id, action_type, cycle_id=None)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action.celery_task_id = task.id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db.session.commit()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 jsonify({'status': 'dispatched', 'action_id': action.id}), 200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0D1B3E"/>
          <w:sz w:val="34"/>
          <w:szCs w:val="34"/>
        </w:rPr>
        <w:t xml:space="preserve">6. Functional Requirements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Wealth Pyramid Launchpad renders at /simulations/:id. It is the simulation detail page — the user lands here after creating a simulation or selecting one from the Dashboard.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page header shows simulation status (Complete/Generating/Paused), creation date, page title ('Your Wealth Pyramid'), and three action buttons: Export PDF, Share, and Growth Command Center (links to /simulations/:id/gcc).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Five layers render as a single-open accordion. Default: L1 expanded. Each layer header shows: layer icon, badge (L1-L5), title + subtitle, agent status counts (done/running/ready), priority badge (HIGH/MEDIUM), and 4px left border in layer color.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Part 1 (AI Analysis) occupies the top of each expanded layer. It contains: the positioning paragraph in a teal-bordered box, 3-6 opportunity cards with service name, revenue range, description, channel tags, and expandable AI reasoning with evidence bullets and automation/launch tags. A 'Refine this layer' button opens the Simi co-pilot with a pre-filled prompt.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FR-PYR-05: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Part 2 (Agent Grid) occupies the bottom of each expanded layer, separated by a 2px horizontal rule. It contains: section header ('Execute — All L[N] Agents' with agent counts) and a responsive grid of ALL agents for that layer. No agents are hidden — locked agents are dimmed but visible.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FR-PYR-06: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Agent cards show: icon, status badge (Done/Running/Ready/Locked), agent name, one-line description, and a status-dependent action link (Configure &amp; Run / View artifact / Running / Prerequisites needed). Available cards have a teal-highlighted border.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FR-PYR-07: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Clicking an available or completed agent card opens a configuration slide-over panel (440px wide, slides from right). The panel shows: agent name, description, completion banner (if applicable), configurable parameters (select, text, toggle, textarea), integration info ('Deploys to' pills), and Run/Re-run button.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FR-PYR-08: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Agent parameters are defined per agent per Section 4.4. Parameters are stored as prefill_inputs on the ActionQueueItem record. Agents with no parameters show a placeholder card and run with simulation defaults.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FR-PYR-09: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Run Agent dispatches a POST to /api/simulations/:id/agents/:action_type/run. The server validates DAG prerequisites and integration availability before dispatching. Missing prerequisites or disconnected integrations return 422 with actionable error messages. Successful dispatch returns 200 and creates a Celery task.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FR-PYR-10: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Manual agent runs (source='manual') follow the same execution path as orchestrator-dispatched runs: same Celery task, same output validation, same integration deployment, same bio page auto-update, same CRM saves. The only difference is source attribution — the Bayesian model tracks manual vs orchestrator dispatch separately.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FR-PYR-11: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49 agents are represented across the 5 layer grids: L1 (11), L2 (8), L3 (10), L4 (10), L5 (10). The grid shows every agent the platform supports. Locked agents display 'Prerequisites needed' so the user understands what unlocks them.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FR-PYR-12: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Re-running a completed agent creates a new artifact version (per SIM-PRD-VIEW-001 version history). The previous version is retained. The user can view and compare versions in the artifact Full View.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3E"/>
          <w:sz w:val="20"/>
          <w:szCs w:val="20"/>
        </w:rPr>
        <w:t xml:space="preserve">FR-PYR-13: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When an agent completes, its card updates from 'Running' to 'Done' via WebSocket push (preferred) or polling (fallback, every 10 seconds while any agent is running). A toast notification appears: '[Agent name] completed — view artifact.'</w:t>
      </w:r>
    </w:p>
    <w:p>
      <w:pPr>
        <w:spacing w:after="10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B72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SIM-PRD-PYRAMID-001  ·  Wealth Pyramid Launchpad  ·  v1.0  ·  April 2026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Jean Moussa Delphonse  ·  Bay Area Experiences Ventures  ·  Confidential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4"/>
        <w:szCs w:val="14"/>
      </w:rPr>
      <w:t xml:space="preserve">Jean Moussa Delphonse  |  Bay Area Experiences Ventures  |  April 2026</w:t>
    </w:r>
    <w:r>
      <w:rPr>
        <w:rFonts w:ascii="Arial" w:cs="Arial" w:eastAsia="Arial" w:hAnsi="Arial"/>
        <w:color w:val="666666"/>
        <w:sz w:val="14"/>
        <w:szCs w:val="14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B72" w:sz="4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F7B72"/>
        <w:sz w:val="16"/>
        <w:szCs w:val="16"/>
      </w:rPr>
      <w:t xml:space="preserve">Simulacrum — Wealth Pyramid Launchpad</w:t>
    </w:r>
    <w:r>
      <w:rPr>
        <w:rFonts w:ascii="Arial" w:cs="Arial" w:eastAsia="Arial" w:hAnsi="Arial"/>
        <w:color w:val="666666"/>
        <w:sz w:val="16"/>
        <w:szCs w:val="16"/>
      </w:rPr>
      <w:t xml:space="preserve">	SIM-PRD-PYRAMID-001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2026-06-03T20:38:55.175Z</dcterms:created>
  <dcterms:modified xsi:type="dcterms:W3CDTF">2026-06-03T20:38:55.186Z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