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1F89C" w14:textId="77777777" w:rsidR="00E963DE" w:rsidRDefault="00000000">
      <w:pPr>
        <w:spacing w:after="40"/>
      </w:pPr>
      <w:r>
        <w:rPr>
          <w:b/>
          <w:bCs/>
          <w:color w:val="2E7D8C"/>
          <w:spacing w:val="28"/>
          <w:sz w:val="16"/>
          <w:szCs w:val="16"/>
        </w:rPr>
        <w:t>SIMULACRUM · PRODUCT REQUIREMENTS DOCUMENT</w:t>
      </w:r>
    </w:p>
    <w:p w14:paraId="24E1F89D" w14:textId="77777777" w:rsidR="00E963DE" w:rsidRDefault="00000000">
      <w:pPr>
        <w:spacing w:after="20"/>
      </w:pPr>
      <w:r>
        <w:rPr>
          <w:b/>
          <w:bCs/>
          <w:color w:val="1A3557"/>
          <w:sz w:val="52"/>
          <w:szCs w:val="52"/>
        </w:rPr>
        <w:t>The Calibration Layer</w:t>
      </w:r>
    </w:p>
    <w:p w14:paraId="24E1F89E" w14:textId="77777777" w:rsidR="00E963DE" w:rsidRDefault="00000000">
      <w:pPr>
        <w:pBdr>
          <w:bottom w:val="single" w:sz="14" w:space="8" w:color="C9952A"/>
        </w:pBdr>
        <w:spacing w:after="60"/>
      </w:pPr>
      <w:r>
        <w:rPr>
          <w:rFonts w:ascii="Consolas" w:eastAsia="Consolas" w:hAnsi="Consolas" w:cs="Consolas"/>
          <w:b/>
          <w:bCs/>
          <w:color w:val="C9952A"/>
          <w:sz w:val="24"/>
          <w:szCs w:val="24"/>
        </w:rPr>
        <w:t>PRD-SIM-CAL-001</w:t>
      </w:r>
    </w:p>
    <w:p w14:paraId="24E1F89F" w14:textId="77777777" w:rsidR="00E963DE" w:rsidRDefault="00000000">
      <w:pPr>
        <w:spacing w:before="60" w:after="200"/>
      </w:pPr>
      <w:r>
        <w:rPr>
          <w:i/>
          <w:iCs/>
          <w:color w:val="6B7B8D"/>
          <w:sz w:val="22"/>
          <w:szCs w:val="22"/>
        </w:rPr>
        <w:t>Anchoring every simulated outcome to real-world data — shown as a range, with its source and confidence.</w:t>
      </w:r>
    </w:p>
    <w:tbl>
      <w:tblPr>
        <w:tblW w:w="9360" w:type="dxa"/>
        <w:tblBorders>
          <w:insideH w:val="single" w:sz="2" w:space="0" w:color="E1E5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E963DE" w14:paraId="24E1F8A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4F7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4E1F8A0" w14:textId="77777777" w:rsidR="00E963DE" w:rsidRDefault="00000000">
            <w:r>
              <w:rPr>
                <w:b/>
                <w:bCs/>
                <w:color w:val="1A3557"/>
                <w:sz w:val="18"/>
                <w:szCs w:val="18"/>
              </w:rPr>
              <w:t>Product</w:t>
            </w:r>
          </w:p>
        </w:tc>
        <w:tc>
          <w:tcPr>
            <w:tcW w:w="7460" w:type="dxa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4E1F8A1" w14:textId="77777777" w:rsidR="00E963DE" w:rsidRDefault="00000000">
            <w:r>
              <w:rPr>
                <w:sz w:val="18"/>
                <w:szCs w:val="18"/>
              </w:rPr>
              <w:t>Simulacrum (simulacrumai.io)</w:t>
            </w:r>
          </w:p>
        </w:tc>
      </w:tr>
      <w:tr w:rsidR="00E963DE" w14:paraId="24E1F8A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4F7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4E1F8A3" w14:textId="77777777" w:rsidR="00E963DE" w:rsidRDefault="00000000">
            <w:r>
              <w:rPr>
                <w:b/>
                <w:bCs/>
                <w:color w:val="1A3557"/>
                <w:sz w:val="18"/>
                <w:szCs w:val="18"/>
              </w:rPr>
              <w:t>Owner</w:t>
            </w:r>
          </w:p>
        </w:tc>
        <w:tc>
          <w:tcPr>
            <w:tcW w:w="7460" w:type="dxa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4E1F8A4" w14:textId="77777777" w:rsidR="00E963DE" w:rsidRDefault="00000000">
            <w:r>
              <w:rPr>
                <w:sz w:val="18"/>
                <w:szCs w:val="18"/>
              </w:rPr>
              <w:t>Jean M. Delphonse</w:t>
            </w:r>
          </w:p>
        </w:tc>
      </w:tr>
      <w:tr w:rsidR="00E963DE" w14:paraId="24E1F8A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4F7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4E1F8A6" w14:textId="77777777" w:rsidR="00E963DE" w:rsidRDefault="00000000">
            <w:r>
              <w:rPr>
                <w:b/>
                <w:bCs/>
                <w:color w:val="1A3557"/>
                <w:sz w:val="18"/>
                <w:szCs w:val="18"/>
              </w:rPr>
              <w:t>Version</w:t>
            </w:r>
          </w:p>
        </w:tc>
        <w:tc>
          <w:tcPr>
            <w:tcW w:w="7460" w:type="dxa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4E1F8A7" w14:textId="77777777" w:rsidR="00E963DE" w:rsidRDefault="00000000">
            <w:r>
              <w:rPr>
                <w:sz w:val="18"/>
                <w:szCs w:val="18"/>
              </w:rPr>
              <w:t>1.0 (</w:t>
            </w:r>
            <w:proofErr w:type="gramStart"/>
            <w:r>
              <w:rPr>
                <w:sz w:val="18"/>
                <w:szCs w:val="18"/>
              </w:rPr>
              <w:t>Draft) ·</w:t>
            </w:r>
            <w:proofErr w:type="gramEnd"/>
            <w:r>
              <w:rPr>
                <w:sz w:val="18"/>
                <w:szCs w:val="18"/>
              </w:rPr>
              <w:t xml:space="preserve"> For review</w:t>
            </w:r>
          </w:p>
        </w:tc>
      </w:tr>
      <w:tr w:rsidR="00E963DE" w14:paraId="24E1F8A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4F7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4E1F8A9" w14:textId="77777777" w:rsidR="00E963DE" w:rsidRDefault="00000000">
            <w:r>
              <w:rPr>
                <w:b/>
                <w:bCs/>
                <w:color w:val="1A3557"/>
                <w:sz w:val="18"/>
                <w:szCs w:val="18"/>
              </w:rPr>
              <w:t>Stack</w:t>
            </w:r>
          </w:p>
        </w:tc>
        <w:tc>
          <w:tcPr>
            <w:tcW w:w="7460" w:type="dxa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4E1F8AA" w14:textId="77777777" w:rsidR="00E963DE" w:rsidRDefault="00000000">
            <w:r>
              <w:rPr>
                <w:sz w:val="18"/>
                <w:szCs w:val="18"/>
              </w:rPr>
              <w:t xml:space="preserve">Flask · </w:t>
            </w:r>
            <w:proofErr w:type="spellStart"/>
            <w:r>
              <w:rPr>
                <w:sz w:val="18"/>
                <w:szCs w:val="18"/>
              </w:rPr>
              <w:t>SQLAlchemy</w:t>
            </w:r>
            <w:proofErr w:type="spellEnd"/>
            <w:r>
              <w:rPr>
                <w:sz w:val="18"/>
                <w:szCs w:val="18"/>
              </w:rPr>
              <w:t xml:space="preserve"> · MySQL · Claude API · SSE streaming · GoDaddy cPanel / Passenger WSGI</w:t>
            </w:r>
          </w:p>
        </w:tc>
      </w:tr>
      <w:tr w:rsidR="00E963DE" w14:paraId="24E1F8A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4F7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4E1F8AC" w14:textId="77777777" w:rsidR="00E963DE" w:rsidRDefault="00000000">
            <w:r>
              <w:rPr>
                <w:b/>
                <w:bCs/>
                <w:color w:val="1A3557"/>
                <w:sz w:val="18"/>
                <w:szCs w:val="18"/>
              </w:rPr>
              <w:t>Conventions</w:t>
            </w:r>
          </w:p>
        </w:tc>
        <w:tc>
          <w:tcPr>
            <w:tcW w:w="7460" w:type="dxa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4E1F8AD" w14:textId="77777777" w:rsidR="00E963DE" w:rsidRDefault="00000000">
            <w:r>
              <w:rPr>
                <w:sz w:val="18"/>
                <w:szCs w:val="18"/>
              </w:rPr>
              <w:t xml:space="preserve">9-character alphanumeric PKs via </w:t>
            </w:r>
            <w:proofErr w:type="spellStart"/>
            <w:r>
              <w:rPr>
                <w:sz w:val="18"/>
                <w:szCs w:val="18"/>
              </w:rPr>
              <w:t>generate_pk</w:t>
            </w:r>
            <w:proofErr w:type="spellEnd"/>
            <w:r>
              <w:rPr>
                <w:sz w:val="18"/>
                <w:szCs w:val="18"/>
              </w:rPr>
              <w:t>(); all thresholds admin-configurable (never hardcoded); simulation price referenced from Admin → Pricing, never hardcoded.</w:t>
            </w:r>
          </w:p>
        </w:tc>
      </w:tr>
    </w:tbl>
    <w:p w14:paraId="24E1F8AF" w14:textId="77777777" w:rsidR="00E963DE" w:rsidRDefault="00E963DE">
      <w:pPr>
        <w:spacing w:after="120"/>
      </w:pPr>
    </w:p>
    <w:p w14:paraId="24E1F8B0" w14:textId="77777777" w:rsidR="00E963DE" w:rsidRDefault="00000000">
      <w:pPr>
        <w:spacing w:before="180" w:after="50"/>
      </w:pPr>
      <w:r>
        <w:rPr>
          <w:b/>
          <w:bCs/>
          <w:caps/>
          <w:color w:val="2E7D8C"/>
          <w:spacing w:val="24"/>
          <w:sz w:val="16"/>
          <w:szCs w:val="16"/>
        </w:rPr>
        <w:t>Contents</w:t>
      </w:r>
    </w:p>
    <w:p w14:paraId="24E1F8B1" w14:textId="77777777" w:rsidR="00E963DE" w:rsidRDefault="00000000">
      <w:pPr>
        <w:tabs>
          <w:tab w:val="right" w:pos="9360"/>
        </w:tabs>
        <w:spacing w:after="24" w:line="276" w:lineRule="auto"/>
      </w:pPr>
      <w:r>
        <w:rPr>
          <w:b/>
          <w:bCs/>
          <w:color w:val="C9952A"/>
          <w:sz w:val="19"/>
          <w:szCs w:val="19"/>
        </w:rPr>
        <w:t xml:space="preserve">1.  </w:t>
      </w:r>
      <w:r>
        <w:rPr>
          <w:color w:val="1A3557"/>
          <w:sz w:val="19"/>
          <w:szCs w:val="19"/>
        </w:rPr>
        <w:t>Summary</w:t>
      </w:r>
      <w:r>
        <w:rPr>
          <w:color w:val="6B7B8D"/>
          <w:sz w:val="19"/>
          <w:szCs w:val="19"/>
        </w:rPr>
        <w:tab/>
        <w:t>2</w:t>
      </w:r>
    </w:p>
    <w:p w14:paraId="24E1F8B2" w14:textId="77777777" w:rsidR="00E963DE" w:rsidRDefault="00000000">
      <w:pPr>
        <w:tabs>
          <w:tab w:val="right" w:pos="9360"/>
        </w:tabs>
        <w:spacing w:after="24" w:line="276" w:lineRule="auto"/>
      </w:pPr>
      <w:r>
        <w:rPr>
          <w:b/>
          <w:bCs/>
          <w:color w:val="C9952A"/>
          <w:sz w:val="19"/>
          <w:szCs w:val="19"/>
        </w:rPr>
        <w:t xml:space="preserve">2.  </w:t>
      </w:r>
      <w:r>
        <w:rPr>
          <w:color w:val="1A3557"/>
          <w:sz w:val="19"/>
          <w:szCs w:val="19"/>
        </w:rPr>
        <w:t>Problem &amp; Strategic Rationale</w:t>
      </w:r>
      <w:r>
        <w:rPr>
          <w:color w:val="6B7B8D"/>
          <w:sz w:val="19"/>
          <w:szCs w:val="19"/>
        </w:rPr>
        <w:tab/>
        <w:t>2</w:t>
      </w:r>
    </w:p>
    <w:p w14:paraId="24E1F8B3" w14:textId="77777777" w:rsidR="00E963DE" w:rsidRDefault="00000000">
      <w:pPr>
        <w:tabs>
          <w:tab w:val="right" w:pos="9360"/>
        </w:tabs>
        <w:spacing w:after="24" w:line="276" w:lineRule="auto"/>
      </w:pPr>
      <w:r>
        <w:rPr>
          <w:b/>
          <w:bCs/>
          <w:color w:val="C9952A"/>
          <w:sz w:val="19"/>
          <w:szCs w:val="19"/>
        </w:rPr>
        <w:t xml:space="preserve">3.  </w:t>
      </w:r>
      <w:r>
        <w:rPr>
          <w:color w:val="1A3557"/>
          <w:sz w:val="19"/>
          <w:szCs w:val="19"/>
        </w:rPr>
        <w:t xml:space="preserve">Goals &amp; </w:t>
      </w:r>
      <w:proofErr w:type="gramStart"/>
      <w:r>
        <w:rPr>
          <w:color w:val="1A3557"/>
          <w:sz w:val="19"/>
          <w:szCs w:val="19"/>
        </w:rPr>
        <w:t>Non-Goals</w:t>
      </w:r>
      <w:proofErr w:type="gramEnd"/>
      <w:r>
        <w:rPr>
          <w:color w:val="6B7B8D"/>
          <w:sz w:val="19"/>
          <w:szCs w:val="19"/>
        </w:rPr>
        <w:tab/>
        <w:t>2</w:t>
      </w:r>
    </w:p>
    <w:p w14:paraId="24E1F8B4" w14:textId="77777777" w:rsidR="00E963DE" w:rsidRDefault="00000000">
      <w:pPr>
        <w:tabs>
          <w:tab w:val="right" w:pos="9360"/>
        </w:tabs>
        <w:spacing w:after="24" w:line="276" w:lineRule="auto"/>
      </w:pPr>
      <w:r>
        <w:rPr>
          <w:b/>
          <w:bCs/>
          <w:color w:val="C9952A"/>
          <w:sz w:val="19"/>
          <w:szCs w:val="19"/>
        </w:rPr>
        <w:t xml:space="preserve">4.  </w:t>
      </w:r>
      <w:r>
        <w:rPr>
          <w:color w:val="1A3557"/>
          <w:sz w:val="19"/>
          <w:szCs w:val="19"/>
        </w:rPr>
        <w:t>Users</w:t>
      </w:r>
      <w:r>
        <w:rPr>
          <w:color w:val="6B7B8D"/>
          <w:sz w:val="19"/>
          <w:szCs w:val="19"/>
        </w:rPr>
        <w:tab/>
        <w:t>2</w:t>
      </w:r>
    </w:p>
    <w:p w14:paraId="24E1F8B5" w14:textId="77777777" w:rsidR="00E963DE" w:rsidRDefault="00000000">
      <w:pPr>
        <w:tabs>
          <w:tab w:val="right" w:pos="9360"/>
        </w:tabs>
        <w:spacing w:after="24" w:line="276" w:lineRule="auto"/>
      </w:pPr>
      <w:r>
        <w:rPr>
          <w:b/>
          <w:bCs/>
          <w:color w:val="C9952A"/>
          <w:sz w:val="19"/>
          <w:szCs w:val="19"/>
        </w:rPr>
        <w:t xml:space="preserve">5.  </w:t>
      </w:r>
      <w:r>
        <w:rPr>
          <w:color w:val="1A3557"/>
          <w:sz w:val="19"/>
          <w:szCs w:val="19"/>
        </w:rPr>
        <w:t>Core Concepts</w:t>
      </w:r>
      <w:r>
        <w:rPr>
          <w:color w:val="6B7B8D"/>
          <w:sz w:val="19"/>
          <w:szCs w:val="19"/>
        </w:rPr>
        <w:tab/>
        <w:t>3</w:t>
      </w:r>
    </w:p>
    <w:p w14:paraId="24E1F8B6" w14:textId="77777777" w:rsidR="00E963DE" w:rsidRDefault="00000000">
      <w:pPr>
        <w:tabs>
          <w:tab w:val="right" w:pos="9360"/>
        </w:tabs>
        <w:spacing w:after="24" w:line="276" w:lineRule="auto"/>
      </w:pPr>
      <w:r>
        <w:rPr>
          <w:b/>
          <w:bCs/>
          <w:color w:val="C9952A"/>
          <w:sz w:val="19"/>
          <w:szCs w:val="19"/>
        </w:rPr>
        <w:t xml:space="preserve">6.  </w:t>
      </w:r>
      <w:r>
        <w:rPr>
          <w:color w:val="1A3557"/>
          <w:sz w:val="19"/>
          <w:szCs w:val="19"/>
        </w:rPr>
        <w:t>Architecture</w:t>
      </w:r>
      <w:r>
        <w:rPr>
          <w:color w:val="6B7B8D"/>
          <w:sz w:val="19"/>
          <w:szCs w:val="19"/>
        </w:rPr>
        <w:tab/>
        <w:t>3</w:t>
      </w:r>
    </w:p>
    <w:p w14:paraId="24E1F8B7" w14:textId="77777777" w:rsidR="00E963DE" w:rsidRDefault="00000000">
      <w:pPr>
        <w:tabs>
          <w:tab w:val="right" w:pos="9360"/>
        </w:tabs>
        <w:spacing w:after="24" w:line="276" w:lineRule="auto"/>
      </w:pPr>
      <w:r>
        <w:rPr>
          <w:b/>
          <w:bCs/>
          <w:color w:val="C9952A"/>
          <w:sz w:val="19"/>
          <w:szCs w:val="19"/>
        </w:rPr>
        <w:t xml:space="preserve">7.  </w:t>
      </w:r>
      <w:r>
        <w:rPr>
          <w:color w:val="1A3557"/>
          <w:sz w:val="19"/>
          <w:szCs w:val="19"/>
        </w:rPr>
        <w:t>Data Model</w:t>
      </w:r>
      <w:r>
        <w:rPr>
          <w:color w:val="6B7B8D"/>
          <w:sz w:val="19"/>
          <w:szCs w:val="19"/>
        </w:rPr>
        <w:tab/>
        <w:t>3</w:t>
      </w:r>
    </w:p>
    <w:p w14:paraId="24E1F8B8" w14:textId="77777777" w:rsidR="00E963DE" w:rsidRDefault="00000000">
      <w:pPr>
        <w:tabs>
          <w:tab w:val="right" w:pos="9360"/>
        </w:tabs>
        <w:spacing w:after="24" w:line="276" w:lineRule="auto"/>
      </w:pPr>
      <w:r>
        <w:rPr>
          <w:b/>
          <w:bCs/>
          <w:color w:val="C9952A"/>
          <w:sz w:val="19"/>
          <w:szCs w:val="19"/>
        </w:rPr>
        <w:t xml:space="preserve">8.  </w:t>
      </w:r>
      <w:r>
        <w:rPr>
          <w:color w:val="1A3557"/>
          <w:sz w:val="19"/>
          <w:szCs w:val="19"/>
        </w:rPr>
        <w:t>Reference Datasets by Layer</w:t>
      </w:r>
      <w:r>
        <w:rPr>
          <w:color w:val="6B7B8D"/>
          <w:sz w:val="19"/>
          <w:szCs w:val="19"/>
        </w:rPr>
        <w:tab/>
        <w:t>4</w:t>
      </w:r>
    </w:p>
    <w:p w14:paraId="24E1F8B9" w14:textId="77777777" w:rsidR="00E963DE" w:rsidRDefault="00000000">
      <w:pPr>
        <w:tabs>
          <w:tab w:val="right" w:pos="9360"/>
        </w:tabs>
        <w:spacing w:after="24" w:line="276" w:lineRule="auto"/>
      </w:pPr>
      <w:r>
        <w:rPr>
          <w:b/>
          <w:bCs/>
          <w:color w:val="C9952A"/>
          <w:sz w:val="19"/>
          <w:szCs w:val="19"/>
        </w:rPr>
        <w:t xml:space="preserve">9.  </w:t>
      </w:r>
      <w:r>
        <w:rPr>
          <w:color w:val="1A3557"/>
          <w:sz w:val="19"/>
          <w:szCs w:val="19"/>
        </w:rPr>
        <w:t>Calibration Methodology</w:t>
      </w:r>
      <w:r>
        <w:rPr>
          <w:color w:val="6B7B8D"/>
          <w:sz w:val="19"/>
          <w:szCs w:val="19"/>
        </w:rPr>
        <w:tab/>
        <w:t>4</w:t>
      </w:r>
    </w:p>
    <w:p w14:paraId="24E1F8BA" w14:textId="77777777" w:rsidR="00E963DE" w:rsidRDefault="00000000">
      <w:pPr>
        <w:tabs>
          <w:tab w:val="right" w:pos="9360"/>
        </w:tabs>
        <w:spacing w:after="24" w:line="276" w:lineRule="auto"/>
      </w:pPr>
      <w:r>
        <w:rPr>
          <w:b/>
          <w:bCs/>
          <w:color w:val="C9952A"/>
          <w:sz w:val="19"/>
          <w:szCs w:val="19"/>
        </w:rPr>
        <w:t xml:space="preserve">10.  </w:t>
      </w:r>
      <w:r>
        <w:rPr>
          <w:color w:val="1A3557"/>
          <w:sz w:val="19"/>
          <w:szCs w:val="19"/>
        </w:rPr>
        <w:t>The Outcome Feedback Loop</w:t>
      </w:r>
      <w:r>
        <w:rPr>
          <w:color w:val="6B7B8D"/>
          <w:sz w:val="19"/>
          <w:szCs w:val="19"/>
        </w:rPr>
        <w:tab/>
        <w:t>4</w:t>
      </w:r>
    </w:p>
    <w:p w14:paraId="24E1F8BB" w14:textId="77777777" w:rsidR="00E963DE" w:rsidRDefault="00000000">
      <w:pPr>
        <w:tabs>
          <w:tab w:val="right" w:pos="9360"/>
        </w:tabs>
        <w:spacing w:after="24" w:line="276" w:lineRule="auto"/>
      </w:pPr>
      <w:r>
        <w:rPr>
          <w:b/>
          <w:bCs/>
          <w:color w:val="C9952A"/>
          <w:sz w:val="19"/>
          <w:szCs w:val="19"/>
        </w:rPr>
        <w:t xml:space="preserve">11.  </w:t>
      </w:r>
      <w:r>
        <w:rPr>
          <w:color w:val="1A3557"/>
          <w:sz w:val="19"/>
          <w:szCs w:val="19"/>
        </w:rPr>
        <w:t>Algorithms to Live By — Explicit Mapping</w:t>
      </w:r>
      <w:r>
        <w:rPr>
          <w:color w:val="6B7B8D"/>
          <w:sz w:val="19"/>
          <w:szCs w:val="19"/>
        </w:rPr>
        <w:tab/>
        <w:t>5</w:t>
      </w:r>
    </w:p>
    <w:p w14:paraId="24E1F8BC" w14:textId="77777777" w:rsidR="00E963DE" w:rsidRDefault="00000000">
      <w:pPr>
        <w:tabs>
          <w:tab w:val="right" w:pos="9360"/>
        </w:tabs>
        <w:spacing w:after="24" w:line="276" w:lineRule="auto"/>
      </w:pPr>
      <w:r>
        <w:rPr>
          <w:b/>
          <w:bCs/>
          <w:color w:val="C9952A"/>
          <w:sz w:val="19"/>
          <w:szCs w:val="19"/>
        </w:rPr>
        <w:t xml:space="preserve">12.  </w:t>
      </w:r>
      <w:r>
        <w:rPr>
          <w:color w:val="1A3557"/>
          <w:sz w:val="19"/>
          <w:szCs w:val="19"/>
        </w:rPr>
        <w:t>UI / UX Specification</w:t>
      </w:r>
      <w:r>
        <w:rPr>
          <w:color w:val="6B7B8D"/>
          <w:sz w:val="19"/>
          <w:szCs w:val="19"/>
        </w:rPr>
        <w:tab/>
        <w:t>5</w:t>
      </w:r>
    </w:p>
    <w:p w14:paraId="24E1F8BD" w14:textId="77777777" w:rsidR="00E963DE" w:rsidRDefault="00000000">
      <w:pPr>
        <w:tabs>
          <w:tab w:val="right" w:pos="9360"/>
        </w:tabs>
        <w:spacing w:after="24" w:line="276" w:lineRule="auto"/>
      </w:pPr>
      <w:r>
        <w:rPr>
          <w:b/>
          <w:bCs/>
          <w:color w:val="C9952A"/>
          <w:sz w:val="19"/>
          <w:szCs w:val="19"/>
        </w:rPr>
        <w:t xml:space="preserve">13.  </w:t>
      </w:r>
      <w:r>
        <w:rPr>
          <w:color w:val="1A3557"/>
          <w:sz w:val="19"/>
          <w:szCs w:val="19"/>
        </w:rPr>
        <w:t>API / Endpoints</w:t>
      </w:r>
      <w:r>
        <w:rPr>
          <w:color w:val="6B7B8D"/>
          <w:sz w:val="19"/>
          <w:szCs w:val="19"/>
        </w:rPr>
        <w:tab/>
        <w:t>7</w:t>
      </w:r>
    </w:p>
    <w:p w14:paraId="24E1F8BE" w14:textId="77777777" w:rsidR="00E963DE" w:rsidRDefault="00000000">
      <w:pPr>
        <w:tabs>
          <w:tab w:val="right" w:pos="9360"/>
        </w:tabs>
        <w:spacing w:after="24" w:line="276" w:lineRule="auto"/>
      </w:pPr>
      <w:r>
        <w:rPr>
          <w:b/>
          <w:bCs/>
          <w:color w:val="C9952A"/>
          <w:sz w:val="19"/>
          <w:szCs w:val="19"/>
        </w:rPr>
        <w:t xml:space="preserve">14.  </w:t>
      </w:r>
      <w:r>
        <w:rPr>
          <w:color w:val="1A3557"/>
          <w:sz w:val="19"/>
          <w:szCs w:val="19"/>
        </w:rPr>
        <w:t>Rollout / Phasing</w:t>
      </w:r>
      <w:r>
        <w:rPr>
          <w:color w:val="6B7B8D"/>
          <w:sz w:val="19"/>
          <w:szCs w:val="19"/>
        </w:rPr>
        <w:tab/>
        <w:t>8</w:t>
      </w:r>
    </w:p>
    <w:p w14:paraId="24E1F8BF" w14:textId="77777777" w:rsidR="00E963DE" w:rsidRDefault="00000000">
      <w:pPr>
        <w:tabs>
          <w:tab w:val="right" w:pos="9360"/>
        </w:tabs>
        <w:spacing w:after="24" w:line="276" w:lineRule="auto"/>
      </w:pPr>
      <w:r>
        <w:rPr>
          <w:b/>
          <w:bCs/>
          <w:color w:val="C9952A"/>
          <w:sz w:val="19"/>
          <w:szCs w:val="19"/>
        </w:rPr>
        <w:t xml:space="preserve">15.  </w:t>
      </w:r>
      <w:r>
        <w:rPr>
          <w:color w:val="1A3557"/>
          <w:sz w:val="19"/>
          <w:szCs w:val="19"/>
        </w:rPr>
        <w:t>Success Metrics</w:t>
      </w:r>
      <w:r>
        <w:rPr>
          <w:color w:val="6B7B8D"/>
          <w:sz w:val="19"/>
          <w:szCs w:val="19"/>
        </w:rPr>
        <w:tab/>
        <w:t>8</w:t>
      </w:r>
    </w:p>
    <w:p w14:paraId="24E1F8C0" w14:textId="77777777" w:rsidR="00E963DE" w:rsidRDefault="00000000">
      <w:pPr>
        <w:tabs>
          <w:tab w:val="right" w:pos="9360"/>
        </w:tabs>
        <w:spacing w:after="24" w:line="276" w:lineRule="auto"/>
      </w:pPr>
      <w:r>
        <w:rPr>
          <w:b/>
          <w:bCs/>
          <w:color w:val="C9952A"/>
          <w:sz w:val="19"/>
          <w:szCs w:val="19"/>
        </w:rPr>
        <w:t xml:space="preserve">16.  </w:t>
      </w:r>
      <w:r>
        <w:rPr>
          <w:color w:val="1A3557"/>
          <w:sz w:val="19"/>
          <w:szCs w:val="19"/>
        </w:rPr>
        <w:t>Risks &amp; Mitigations</w:t>
      </w:r>
      <w:r>
        <w:rPr>
          <w:color w:val="6B7B8D"/>
          <w:sz w:val="19"/>
          <w:szCs w:val="19"/>
        </w:rPr>
        <w:tab/>
        <w:t>8</w:t>
      </w:r>
    </w:p>
    <w:p w14:paraId="24E1F8C1" w14:textId="77777777" w:rsidR="00E963DE" w:rsidRDefault="00000000">
      <w:pPr>
        <w:tabs>
          <w:tab w:val="right" w:pos="9360"/>
        </w:tabs>
        <w:spacing w:after="24" w:line="276" w:lineRule="auto"/>
      </w:pPr>
      <w:r>
        <w:rPr>
          <w:b/>
          <w:bCs/>
          <w:color w:val="C9952A"/>
          <w:sz w:val="19"/>
          <w:szCs w:val="19"/>
        </w:rPr>
        <w:t xml:space="preserve">17.  </w:t>
      </w:r>
      <w:r>
        <w:rPr>
          <w:color w:val="1A3557"/>
          <w:sz w:val="19"/>
          <w:szCs w:val="19"/>
        </w:rPr>
        <w:t>Open Questions</w:t>
      </w:r>
      <w:r>
        <w:rPr>
          <w:color w:val="6B7B8D"/>
          <w:sz w:val="19"/>
          <w:szCs w:val="19"/>
        </w:rPr>
        <w:tab/>
        <w:t>8</w:t>
      </w:r>
    </w:p>
    <w:p w14:paraId="24E1F8C2" w14:textId="77777777" w:rsidR="00E963DE" w:rsidRDefault="00000000">
      <w:r>
        <w:br w:type="page"/>
      </w:r>
    </w:p>
    <w:p w14:paraId="24E1F8C3" w14:textId="77777777" w:rsidR="00E963DE" w:rsidRDefault="00000000">
      <w:pPr>
        <w:pStyle w:val="Heading1"/>
        <w:pBdr>
          <w:bottom w:val="single" w:sz="10" w:space="6" w:color="C9952A"/>
        </w:pBdr>
      </w:pPr>
      <w:r>
        <w:rPr>
          <w:color w:val="C9952A"/>
        </w:rPr>
        <w:lastRenderedPageBreak/>
        <w:t xml:space="preserve">1.  </w:t>
      </w:r>
      <w:r>
        <w:t>Summary</w:t>
      </w:r>
    </w:p>
    <w:p w14:paraId="24E1F8C4" w14:textId="77777777" w:rsidR="00E963DE" w:rsidRDefault="00000000">
      <w:pPr>
        <w:spacing w:after="140" w:line="264" w:lineRule="auto"/>
        <w:jc w:val="both"/>
      </w:pPr>
      <w:r>
        <w:t>The Calibration Layer sits between an agent's raw simulated outcome and what the user sees. It replaces a single model-generated number (</w:t>
      </w:r>
      <w:r>
        <w:rPr>
          <w:rFonts w:ascii="Consolas" w:eastAsia="Consolas" w:hAnsi="Consolas" w:cs="Consolas"/>
          <w:sz w:val="19"/>
          <w:szCs w:val="19"/>
        </w:rPr>
        <w:t>$409,104</w:t>
      </w:r>
      <w:r>
        <w:t xml:space="preserve">) with an </w:t>
      </w:r>
      <w:r>
        <w:rPr>
          <w:b/>
          <w:bCs/>
        </w:rPr>
        <w:t>empirically anchored range shown with its source and a confidence tier</w:t>
      </w:r>
      <w:r>
        <w:t xml:space="preserve"> (</w:t>
      </w:r>
      <w:r>
        <w:rPr>
          <w:i/>
          <w:iCs/>
        </w:rPr>
        <w:t>$372k–$451k · Moderate · calibrated against BLS OES + Freelance Rate Survey 2025</w:t>
      </w:r>
      <w:r>
        <w:t xml:space="preserve">). Over time, a feedback loop lets users report what </w:t>
      </w:r>
      <w:proofErr w:type="gramStart"/>
      <w:r>
        <w:t>actually happened</w:t>
      </w:r>
      <w:proofErr w:type="gramEnd"/>
      <w:r>
        <w:t>, and those real outcomes recalibrate the reference data — a data flywheel available to Simulacrum precisely because it observes individual longitudinal outcomes.</w:t>
      </w:r>
    </w:p>
    <w:p w14:paraId="24E1F8C5" w14:textId="6FBEAB47" w:rsidR="00E963DE" w:rsidRDefault="00000000">
      <w:pPr>
        <w:spacing w:after="140" w:line="264" w:lineRule="auto"/>
        <w:jc w:val="both"/>
      </w:pPr>
      <w:r>
        <w:t xml:space="preserve">This is a defensibility feature. It converts Simulacrum's core promise — </w:t>
      </w:r>
      <w:r>
        <w:rPr>
          <w:i/>
          <w:iCs/>
        </w:rPr>
        <w:t>see the consequences before you live them</w:t>
      </w:r>
      <w:r w:rsidR="00B00ECA">
        <w:t xml:space="preserve"> -</w:t>
      </w:r>
      <w:r>
        <w:t xml:space="preserve"> from a plausible narrative into a checkable forecast, and it is the moat a competitor cannot copy without doing the same data work and owning the same outcome loop.</w:t>
      </w:r>
    </w:p>
    <w:p w14:paraId="24E1F8C6" w14:textId="77777777" w:rsidR="00E963DE" w:rsidRDefault="00000000">
      <w:pPr>
        <w:pStyle w:val="Heading1"/>
        <w:pBdr>
          <w:bottom w:val="single" w:sz="10" w:space="6" w:color="C9952A"/>
        </w:pBdr>
      </w:pPr>
      <w:r>
        <w:rPr>
          <w:color w:val="C9952A"/>
        </w:rPr>
        <w:t xml:space="preserve">2.  </w:t>
      </w:r>
      <w:r>
        <w:t>Problem &amp; Strategic Rationale</w:t>
      </w:r>
    </w:p>
    <w:p w14:paraId="24E1F8C7" w14:textId="77777777" w:rsidR="00E963DE" w:rsidRDefault="00000000">
      <w:pPr>
        <w:spacing w:after="140" w:line="264" w:lineRule="auto"/>
        <w:jc w:val="both"/>
      </w:pPr>
      <w:r>
        <w:t>Today, simulation outcomes are generated by the agent's reasoning. They are internally coherent and useful, but they are not anchored to real-world ground truth, which creates two risks: (a) a credibility ceiling — sophisticated users discount numbers they cannot trace to a source; and (b) an easily-copied product — any team with a good LLM can generate plausible outcomes.</w:t>
      </w:r>
    </w:p>
    <w:p w14:paraId="24E1F8C8" w14:textId="77777777" w:rsidR="00E963DE" w:rsidRDefault="00000000">
      <w:pPr>
        <w:spacing w:after="140" w:line="264" w:lineRule="auto"/>
        <w:jc w:val="both"/>
      </w:pPr>
      <w:r>
        <w:t>Adjacent platforms have made empirical validation against a transparent, replicable benchmark their central moat. Simulacrum's equivalent, adapted to the individual-career domain, is the Calibration Layer plus the outcome flywheel.</w:t>
      </w:r>
    </w:p>
    <w:p w14:paraId="24E1F8C9" w14:textId="77777777" w:rsidR="00E963DE" w:rsidRDefault="00000000">
      <w:pPr>
        <w:pStyle w:val="Heading1"/>
        <w:pBdr>
          <w:bottom w:val="single" w:sz="10" w:space="6" w:color="C9952A"/>
        </w:pBdr>
      </w:pPr>
      <w:r>
        <w:rPr>
          <w:color w:val="C9952A"/>
        </w:rPr>
        <w:t xml:space="preserve">3.  </w:t>
      </w:r>
      <w:r>
        <w:t xml:space="preserve">Goals &amp; </w:t>
      </w:r>
      <w:proofErr w:type="gramStart"/>
      <w:r>
        <w:t>Non-Goals</w:t>
      </w:r>
      <w:proofErr w:type="gramEnd"/>
    </w:p>
    <w:p w14:paraId="24E1F8CA" w14:textId="77777777" w:rsidR="00E963DE" w:rsidRDefault="00000000">
      <w:pPr>
        <w:spacing w:before="180" w:after="50"/>
      </w:pPr>
      <w:r>
        <w:rPr>
          <w:b/>
          <w:bCs/>
          <w:caps/>
          <w:color w:val="2E7D8C"/>
          <w:spacing w:val="24"/>
          <w:sz w:val="16"/>
          <w:szCs w:val="16"/>
        </w:rPr>
        <w:t>Goals</w:t>
      </w:r>
    </w:p>
    <w:p w14:paraId="24E1F8CB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G1. </w:t>
      </w:r>
      <w:r>
        <w:t>Anchor each agent's key numeric outputs to a credible reference dataset, per layer.</w:t>
      </w:r>
    </w:p>
    <w:p w14:paraId="24E1F8CC" w14:textId="7C29FB6C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G2. </w:t>
      </w:r>
      <w:r>
        <w:t xml:space="preserve">Present outcomes as ranges with </w:t>
      </w:r>
      <w:r w:rsidR="00C97E9C">
        <w:t>confidence</w:t>
      </w:r>
      <w:r>
        <w:t xml:space="preserve"> tier and a cited source, not bare point numbers.</w:t>
      </w:r>
    </w:p>
    <w:p w14:paraId="24E1F8CD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G3. </w:t>
      </w:r>
      <w:r>
        <w:t>Be honest about uncertainty: thin or proxy data must visibly widen the range and lower the tier.</w:t>
      </w:r>
    </w:p>
    <w:p w14:paraId="24E1F8CE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G4. </w:t>
      </w:r>
      <w:r>
        <w:t>Capture real user outcomes and feed them back to improve calibration (the flywheel).</w:t>
      </w:r>
    </w:p>
    <w:p w14:paraId="24E1F8CF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G5. </w:t>
      </w:r>
      <w:r>
        <w:t>Keep every threshold admin-configurable; ship the first layer fast (Relaxation — see §14).</w:t>
      </w:r>
    </w:p>
    <w:p w14:paraId="24E1F8D0" w14:textId="77777777" w:rsidR="00E963DE" w:rsidRDefault="00000000">
      <w:pPr>
        <w:spacing w:before="180" w:after="50"/>
      </w:pPr>
      <w:r>
        <w:rPr>
          <w:b/>
          <w:bCs/>
          <w:caps/>
          <w:color w:val="2E7D8C"/>
          <w:spacing w:val="24"/>
          <w:sz w:val="16"/>
          <w:szCs w:val="16"/>
        </w:rPr>
        <w:t>Non-Goals</w:t>
      </w:r>
    </w:p>
    <w:p w14:paraId="24E1F8D1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N1. </w:t>
      </w:r>
      <w:r>
        <w:t>Not a rewrite of the agents. Calibration wraps their output; it does not replace their reasoning.</w:t>
      </w:r>
    </w:p>
    <w:p w14:paraId="24E1F8D2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N2. </w:t>
      </w:r>
      <w:r>
        <w:t>Not financial/legal/tax advice. Calibrated ranges are descriptive benchmarks, not guarantees.</w:t>
      </w:r>
    </w:p>
    <w:p w14:paraId="24E1F8D3" w14:textId="0832074E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N3. </w:t>
      </w:r>
      <w:r>
        <w:t xml:space="preserve">Not </w:t>
      </w:r>
      <w:r w:rsidR="002308FF">
        <w:t>real</w:t>
      </w:r>
      <w:r>
        <w:t>-time market data feed. Reference data updates on a slow cadence (§8).</w:t>
      </w:r>
    </w:p>
    <w:p w14:paraId="24E1F8D4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N4. </w:t>
      </w:r>
      <w:r>
        <w:t>V1 does not calibrate qualitative narrative — only the structured numeric outputs an agent emits.</w:t>
      </w:r>
    </w:p>
    <w:p w14:paraId="24E1F8D5" w14:textId="77777777" w:rsidR="00E963DE" w:rsidRDefault="00000000">
      <w:pPr>
        <w:pStyle w:val="Heading1"/>
        <w:pBdr>
          <w:bottom w:val="single" w:sz="10" w:space="6" w:color="C9952A"/>
        </w:pBdr>
      </w:pPr>
      <w:r>
        <w:rPr>
          <w:color w:val="C9952A"/>
        </w:rPr>
        <w:t xml:space="preserve">4.  </w:t>
      </w:r>
      <w:r>
        <w:t>Users</w:t>
      </w:r>
    </w:p>
    <w:p w14:paraId="24E1F8D6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>Simulation user</w:t>
      </w:r>
      <w:r>
        <w:t xml:space="preserve"> — sees calibrated ranges, sources, and confidence tiers; optionally reports outcomes.</w:t>
      </w:r>
    </w:p>
    <w:p w14:paraId="24E1F8D7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>Skeptical / technical user</w:t>
      </w:r>
      <w:r>
        <w:t xml:space="preserve"> — opens the methodology drawer to inspect prior → data → posterior.</w:t>
      </w:r>
    </w:p>
    <w:p w14:paraId="24E1F8D8" w14:textId="5481C02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Admin </w:t>
      </w:r>
      <w:r>
        <w:t>— configures datasets, thresholds, tiers, and per-agent calibration in an Admin console.</w:t>
      </w:r>
    </w:p>
    <w:p w14:paraId="24E1F8D9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>The system itself</w:t>
      </w:r>
      <w:r>
        <w:t xml:space="preserve"> — the nightly recalibration job that consumes outcome reports.</w:t>
      </w:r>
    </w:p>
    <w:p w14:paraId="24E1F8DA" w14:textId="77777777" w:rsidR="00E963DE" w:rsidRDefault="00000000">
      <w:pPr>
        <w:pStyle w:val="Heading1"/>
        <w:pBdr>
          <w:bottom w:val="single" w:sz="10" w:space="6" w:color="C9952A"/>
        </w:pBdr>
      </w:pPr>
      <w:r>
        <w:rPr>
          <w:color w:val="C9952A"/>
        </w:rPr>
        <w:lastRenderedPageBreak/>
        <w:t xml:space="preserve">5.  </w:t>
      </w:r>
      <w:r>
        <w:t>Core Concepts</w:t>
      </w:r>
    </w:p>
    <w:p w14:paraId="24E1F8DB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>Raw outcome</w:t>
      </w:r>
      <w:r>
        <w:t xml:space="preserve"> — the agent's un-calibrated numeric estimate (the prior).</w:t>
      </w:r>
    </w:p>
    <w:p w14:paraId="24E1F8DC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>Reference dataset</w:t>
      </w:r>
      <w:r>
        <w:t xml:space="preserve"> — an external ground-truth source scoped to a layer (the likelihood).</w:t>
      </w:r>
    </w:p>
    <w:p w14:paraId="24E1F8DD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>Cohort keys</w:t>
      </w:r>
      <w:r>
        <w:t xml:space="preserve"> — the dimensions that match a user to reference rows (e.g., occupation, metro, seniority).</w:t>
      </w:r>
    </w:p>
    <w:p w14:paraId="24E1F8DE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>Calibrated range</w:t>
      </w:r>
      <w:r>
        <w:t xml:space="preserve"> — the posterior: low / mid / high (default p10 / p50 / p90, admin-configurable).</w:t>
      </w:r>
    </w:p>
    <w:p w14:paraId="24E1F8DF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>Confidence tier</w:t>
      </w:r>
      <w:r>
        <w:t xml:space="preserve"> — High / Moderate / Directional, derived from data density and dataset credibility.</w:t>
      </w:r>
    </w:p>
    <w:p w14:paraId="24E1F8E0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>Drift</w:t>
      </w:r>
      <w:r>
        <w:t xml:space="preserve"> — divergence between reported real outcomes and the current reference distribution; triggers review.</w:t>
      </w:r>
    </w:p>
    <w:p w14:paraId="24E1F8E1" w14:textId="77777777" w:rsidR="00E963DE" w:rsidRDefault="00000000">
      <w:pPr>
        <w:pStyle w:val="Heading1"/>
        <w:pBdr>
          <w:bottom w:val="single" w:sz="10" w:space="6" w:color="C9952A"/>
        </w:pBdr>
      </w:pPr>
      <w:r>
        <w:rPr>
          <w:color w:val="C9952A"/>
        </w:rPr>
        <w:t xml:space="preserve">6.  </w:t>
      </w:r>
      <w:r>
        <w:t>Architecture</w:t>
      </w:r>
    </w:p>
    <w:p w14:paraId="24E1F8E2" w14:textId="77777777" w:rsidR="00E963DE" w:rsidRDefault="00000000">
      <w:pPr>
        <w:shd w:val="clear" w:color="auto" w:fill="F4F1E8"/>
        <w:spacing w:before="60" w:line="250" w:lineRule="auto"/>
        <w:ind w:left="200"/>
      </w:pPr>
      <w:r>
        <w:rPr>
          <w:rFonts w:ascii="Consolas" w:eastAsia="Consolas" w:hAnsi="Consolas" w:cs="Consolas"/>
          <w:color w:val="263042"/>
          <w:sz w:val="16"/>
          <w:szCs w:val="16"/>
        </w:rPr>
        <w:t>User inputs ─▶ Agent (Claude API) ─▶ raw outcome ─▶ Calibration Engine ─▶ calibrated result ─▶ UI (SSE)</w:t>
      </w:r>
    </w:p>
    <w:p w14:paraId="24E1F8E3" w14:textId="77777777" w:rsidR="00E963DE" w:rsidRDefault="00000000">
      <w:pPr>
        <w:shd w:val="clear" w:color="auto" w:fill="F4F1E8"/>
        <w:spacing w:line="250" w:lineRule="auto"/>
        <w:ind w:left="200"/>
      </w:pPr>
      <w:r>
        <w:rPr>
          <w:rFonts w:ascii="Consolas" w:eastAsia="Consolas" w:hAnsi="Consolas" w:cs="Consolas"/>
          <w:color w:val="263042"/>
          <w:sz w:val="16"/>
          <w:szCs w:val="16"/>
        </w:rPr>
        <w:t xml:space="preserve">                                                        │    ▲                                    │</w:t>
      </w:r>
    </w:p>
    <w:p w14:paraId="24E1F8E4" w14:textId="77777777" w:rsidR="00E963DE" w:rsidRDefault="00000000">
      <w:pPr>
        <w:shd w:val="clear" w:color="auto" w:fill="F4F1E8"/>
        <w:spacing w:line="250" w:lineRule="auto"/>
        <w:ind w:left="200"/>
      </w:pPr>
      <w:r>
        <w:rPr>
          <w:rFonts w:ascii="Consolas" w:eastAsia="Consolas" w:hAnsi="Consolas" w:cs="Consolas"/>
          <w:color w:val="263042"/>
          <w:sz w:val="16"/>
          <w:szCs w:val="16"/>
        </w:rPr>
        <w:t xml:space="preserve">                                          reference lookup │ │ cached posterior           "Report outcome"</w:t>
      </w:r>
    </w:p>
    <w:p w14:paraId="24E1F8E5" w14:textId="77777777" w:rsidR="00E963DE" w:rsidRDefault="00000000">
      <w:pPr>
        <w:shd w:val="clear" w:color="auto" w:fill="F4F1E8"/>
        <w:spacing w:line="250" w:lineRule="auto"/>
        <w:ind w:left="200"/>
      </w:pPr>
      <w:r>
        <w:rPr>
          <w:rFonts w:ascii="Consolas" w:eastAsia="Consolas" w:hAnsi="Consolas" w:cs="Consolas"/>
          <w:color w:val="263042"/>
          <w:sz w:val="16"/>
          <w:szCs w:val="16"/>
        </w:rPr>
        <w:t xml:space="preserve">                                                        ▼    │                                    │</w:t>
      </w:r>
    </w:p>
    <w:p w14:paraId="24E1F8E6" w14:textId="77777777" w:rsidR="00E963DE" w:rsidRDefault="00000000">
      <w:pPr>
        <w:shd w:val="clear" w:color="auto" w:fill="F4F1E8"/>
        <w:spacing w:after="140" w:line="250" w:lineRule="auto"/>
        <w:ind w:left="200"/>
      </w:pPr>
      <w:r>
        <w:rPr>
          <w:rFonts w:ascii="Consolas" w:eastAsia="Consolas" w:hAnsi="Consolas" w:cs="Consolas"/>
          <w:color w:val="263042"/>
          <w:sz w:val="16"/>
          <w:szCs w:val="16"/>
        </w:rPr>
        <w:t xml:space="preserve">                                              Reference Store (MySQL) ◀── nightly recalibration ◀─┘</w:t>
      </w:r>
    </w:p>
    <w:p w14:paraId="24E1F8E7" w14:textId="5C699220" w:rsidR="00E963DE" w:rsidRDefault="00000000">
      <w:pPr>
        <w:spacing w:after="140" w:line="264" w:lineRule="auto"/>
        <w:jc w:val="both"/>
      </w:pPr>
      <w:r>
        <w:t>The Calibration Engine is a Flask service module invoked after the agent emits a structured numeric field. It (1) extracts the numeric field + cohort keys; (2) looks up the matching reference distribution (cached); (3) computes the posterior via Bayesian updating; (4) assigns a confidence tier and attaches the source citation; (5) streams the calibrated result to the UI over the existing SSE channel. Outcome reports are written to outcome_reports; a scheduled job recomputes reference weighting on a cadence gated by an Optimal-Stopping rule (§9, §10).</w:t>
      </w:r>
    </w:p>
    <w:p w14:paraId="24E1F8E8" w14:textId="77777777" w:rsidR="00E963DE" w:rsidRDefault="00000000">
      <w:pPr>
        <w:pStyle w:val="Heading1"/>
        <w:pBdr>
          <w:bottom w:val="single" w:sz="10" w:space="6" w:color="C9952A"/>
        </w:pBdr>
      </w:pPr>
      <w:r>
        <w:rPr>
          <w:color w:val="C9952A"/>
        </w:rPr>
        <w:t xml:space="preserve">7.  </w:t>
      </w:r>
      <w:r>
        <w:t>Data Model</w:t>
      </w:r>
    </w:p>
    <w:p w14:paraId="24E1F8E9" w14:textId="77777777" w:rsidR="00E963DE" w:rsidRDefault="00000000">
      <w:pPr>
        <w:spacing w:after="140" w:line="264" w:lineRule="auto"/>
        <w:jc w:val="both"/>
      </w:pPr>
      <w:r>
        <w:t xml:space="preserve">All primary keys are </w:t>
      </w:r>
      <w:r>
        <w:rPr>
          <w:rFonts w:ascii="Consolas" w:eastAsia="Consolas" w:hAnsi="Consolas" w:cs="Consolas"/>
          <w:sz w:val="19"/>
          <w:szCs w:val="19"/>
        </w:rPr>
        <w:t>CHAR(9)</w:t>
      </w:r>
      <w:r>
        <w:t xml:space="preserve"> via </w:t>
      </w:r>
      <w:proofErr w:type="spellStart"/>
      <w:r>
        <w:rPr>
          <w:rFonts w:ascii="Consolas" w:eastAsia="Consolas" w:hAnsi="Consolas" w:cs="Consolas"/>
          <w:sz w:val="19"/>
          <w:szCs w:val="19"/>
        </w:rPr>
        <w:t>generate_pk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  <w:r>
        <w:t>. All thresholds live in config tables, not code.</w:t>
      </w:r>
    </w:p>
    <w:p w14:paraId="24E1F8EA" w14:textId="77777777" w:rsidR="00E963DE" w:rsidRDefault="00000000">
      <w:pPr>
        <w:spacing w:before="100" w:after="20"/>
      </w:pPr>
      <w:proofErr w:type="spellStart"/>
      <w:r>
        <w:rPr>
          <w:rFonts w:ascii="Consolas" w:eastAsia="Consolas" w:hAnsi="Consolas" w:cs="Consolas"/>
          <w:b/>
          <w:bCs/>
          <w:color w:val="0D1B3E"/>
          <w:sz w:val="19"/>
          <w:szCs w:val="19"/>
        </w:rPr>
        <w:t>reference_datasets</w:t>
      </w:r>
      <w:proofErr w:type="spellEnd"/>
    </w:p>
    <w:p w14:paraId="24E1F8EB" w14:textId="77777777" w:rsidR="00E963DE" w:rsidRDefault="00000000">
      <w:pPr>
        <w:spacing w:after="80" w:line="250" w:lineRule="auto"/>
        <w:ind w:left="200"/>
      </w:pP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dataset_id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(PK) · layer (L1–L5) · name · source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source_url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unit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geography_scope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credibility_tier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(A/B/C)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last_refreshed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refresh_cadence_days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is_active</w:t>
      </w:r>
      <w:proofErr w:type="spellEnd"/>
    </w:p>
    <w:p w14:paraId="24E1F8EC" w14:textId="77777777" w:rsidR="00E963DE" w:rsidRDefault="00000000">
      <w:pPr>
        <w:spacing w:before="100" w:after="20"/>
      </w:pPr>
      <w:proofErr w:type="spellStart"/>
      <w:r>
        <w:rPr>
          <w:rFonts w:ascii="Consolas" w:eastAsia="Consolas" w:hAnsi="Consolas" w:cs="Consolas"/>
          <w:b/>
          <w:bCs/>
          <w:color w:val="0D1B3E"/>
          <w:sz w:val="19"/>
          <w:szCs w:val="19"/>
        </w:rPr>
        <w:t>reference_data_points</w:t>
      </w:r>
      <w:proofErr w:type="spellEnd"/>
    </w:p>
    <w:p w14:paraId="24E1F8ED" w14:textId="77777777" w:rsidR="00E963DE" w:rsidRDefault="00000000">
      <w:pPr>
        <w:spacing w:after="80" w:line="250" w:lineRule="auto"/>
        <w:ind w:left="200"/>
      </w:pP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point_id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(PK)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dataset_id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(FK)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cohort_json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p10 · p50 · p90 · mean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sample_size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as_of_date</w:t>
      </w:r>
      <w:proofErr w:type="spellEnd"/>
    </w:p>
    <w:p w14:paraId="24E1F8EE" w14:textId="77777777" w:rsidR="00E963DE" w:rsidRDefault="00000000">
      <w:pPr>
        <w:spacing w:before="100" w:after="20"/>
      </w:pPr>
      <w:proofErr w:type="spellStart"/>
      <w:r>
        <w:rPr>
          <w:rFonts w:ascii="Consolas" w:eastAsia="Consolas" w:hAnsi="Consolas" w:cs="Consolas"/>
          <w:b/>
          <w:bCs/>
          <w:color w:val="0D1B3E"/>
          <w:sz w:val="19"/>
          <w:szCs w:val="19"/>
        </w:rPr>
        <w:t>calibration_configs</w:t>
      </w:r>
      <w:proofErr w:type="spellEnd"/>
      <w:r>
        <w:rPr>
          <w:rFonts w:ascii="Consolas" w:eastAsia="Consolas" w:hAnsi="Consolas" w:cs="Consolas"/>
          <w:b/>
          <w:bCs/>
          <w:color w:val="0D1B3E"/>
          <w:sz w:val="19"/>
          <w:szCs w:val="19"/>
        </w:rPr>
        <w:t xml:space="preserve">  (admin-configurable, per agent)</w:t>
      </w:r>
    </w:p>
    <w:p w14:paraId="24E1F8EF" w14:textId="77777777" w:rsidR="00E963DE" w:rsidRDefault="00000000">
      <w:pPr>
        <w:spacing w:after="80" w:line="250" w:lineRule="auto"/>
        <w:ind w:left="200"/>
      </w:pP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config_id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(PK)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agent_key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layer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dataset_id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(FK)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output_field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method (default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bayes_precision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)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percentiles_json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(default [10,50,90])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min_sample_high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min_sample_moderate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band_floor_pct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drift_threshold_pct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is_enabled</w:t>
      </w:r>
      <w:proofErr w:type="spellEnd"/>
    </w:p>
    <w:p w14:paraId="24E1F8F0" w14:textId="77777777" w:rsidR="00E963DE" w:rsidRDefault="00000000">
      <w:pPr>
        <w:spacing w:before="100" w:after="20"/>
      </w:pPr>
      <w:proofErr w:type="spellStart"/>
      <w:r>
        <w:rPr>
          <w:rFonts w:ascii="Consolas" w:eastAsia="Consolas" w:hAnsi="Consolas" w:cs="Consolas"/>
          <w:b/>
          <w:bCs/>
          <w:color w:val="0D1B3E"/>
          <w:sz w:val="19"/>
          <w:szCs w:val="19"/>
        </w:rPr>
        <w:t>calibration_runs</w:t>
      </w:r>
      <w:proofErr w:type="spellEnd"/>
    </w:p>
    <w:p w14:paraId="24E1F8F1" w14:textId="77777777" w:rsidR="00E963DE" w:rsidRDefault="00000000">
      <w:pPr>
        <w:spacing w:after="80" w:line="250" w:lineRule="auto"/>
        <w:ind w:left="200"/>
      </w:pP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run_id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(PK)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simulation_id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(FK)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agent_key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raw_value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cal_low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cal_mid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cal_high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confidence_tier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dataset_id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(FK) · method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cohort_json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created_at</w:t>
      </w:r>
      <w:proofErr w:type="spellEnd"/>
    </w:p>
    <w:p w14:paraId="24E1F8F2" w14:textId="77777777" w:rsidR="00E963DE" w:rsidRDefault="00000000">
      <w:pPr>
        <w:spacing w:before="100" w:after="20"/>
      </w:pPr>
      <w:r>
        <w:rPr>
          <w:rFonts w:ascii="Consolas" w:eastAsia="Consolas" w:hAnsi="Consolas" w:cs="Consolas"/>
          <w:b/>
          <w:bCs/>
          <w:color w:val="0D1B3E"/>
          <w:sz w:val="19"/>
          <w:szCs w:val="19"/>
        </w:rPr>
        <w:t>outcome_reports  (the flywheel)</w:t>
      </w:r>
    </w:p>
    <w:p w14:paraId="24E1F8F3" w14:textId="77777777" w:rsidR="00E963DE" w:rsidRDefault="00000000">
      <w:pPr>
        <w:spacing w:after="80" w:line="250" w:lineRule="auto"/>
        <w:ind w:left="200"/>
      </w:pP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report_id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(PK)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user_id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(FK)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simulation_id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(FK)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agent_key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reported_value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months_elapsed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cohort_json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is_verified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reported_at</w:t>
      </w:r>
      <w:proofErr w:type="spellEnd"/>
    </w:p>
    <w:p w14:paraId="24E1F8F4" w14:textId="77777777" w:rsidR="00E963DE" w:rsidRDefault="00000000">
      <w:pPr>
        <w:spacing w:before="100" w:after="20"/>
      </w:pPr>
      <w:proofErr w:type="spellStart"/>
      <w:r>
        <w:rPr>
          <w:rFonts w:ascii="Consolas" w:eastAsia="Consolas" w:hAnsi="Consolas" w:cs="Consolas"/>
          <w:b/>
          <w:bCs/>
          <w:color w:val="0D1B3E"/>
          <w:sz w:val="19"/>
          <w:szCs w:val="19"/>
        </w:rPr>
        <w:t>calibration_audit</w:t>
      </w:r>
      <w:proofErr w:type="spellEnd"/>
    </w:p>
    <w:p w14:paraId="24E1F8F5" w14:textId="77777777" w:rsidR="00E963DE" w:rsidRDefault="00000000">
      <w:pPr>
        <w:spacing w:after="80" w:line="250" w:lineRule="auto"/>
        <w:ind w:left="200"/>
      </w:pP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audit_id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(PK)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dataset_id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(FK)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drift_pct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n_reports</w:t>
      </w:r>
      <w:proofErr w:type="spellEnd"/>
      <w:r>
        <w:rPr>
          <w:rFonts w:ascii="Consolas" w:eastAsia="Consolas" w:hAnsi="Consolas" w:cs="Consolas"/>
          <w:color w:val="3A4250"/>
          <w:sz w:val="16"/>
          <w:szCs w:val="16"/>
        </w:rPr>
        <w:t xml:space="preserve"> · action (none/flagged/reweighted) · </w:t>
      </w:r>
      <w:proofErr w:type="spellStart"/>
      <w:r>
        <w:rPr>
          <w:rFonts w:ascii="Consolas" w:eastAsia="Consolas" w:hAnsi="Consolas" w:cs="Consolas"/>
          <w:color w:val="3A4250"/>
          <w:sz w:val="16"/>
          <w:szCs w:val="16"/>
        </w:rPr>
        <w:t>created_at</w:t>
      </w:r>
      <w:proofErr w:type="spellEnd"/>
    </w:p>
    <w:p w14:paraId="24E1F8F6" w14:textId="77777777" w:rsidR="00E963DE" w:rsidRDefault="00000000">
      <w:pPr>
        <w:pStyle w:val="Heading1"/>
        <w:pBdr>
          <w:bottom w:val="single" w:sz="10" w:space="6" w:color="C9952A"/>
        </w:pBdr>
      </w:pPr>
      <w:r>
        <w:rPr>
          <w:color w:val="C9952A"/>
        </w:rPr>
        <w:lastRenderedPageBreak/>
        <w:t xml:space="preserve">8.  </w:t>
      </w:r>
      <w:r>
        <w:t>Reference Datasets by Layer</w:t>
      </w:r>
    </w:p>
    <w:p w14:paraId="24E1F8F7" w14:textId="77777777" w:rsidR="00E963DE" w:rsidRDefault="00000000">
      <w:pPr>
        <w:spacing w:after="140" w:line="264" w:lineRule="auto"/>
        <w:jc w:val="both"/>
      </w:pPr>
      <w:r>
        <w:t xml:space="preserve">Each layer anchors to sources scoped to its decisions. </w:t>
      </w:r>
      <w:r>
        <w:rPr>
          <w:b/>
          <w:bCs/>
          <w:color w:val="1A3557"/>
        </w:rPr>
        <w:t>Sourcing this data is ~80% of the work and the real moat</w:t>
      </w:r>
      <w:r>
        <w:t xml:space="preserve"> — the engine is easy; credible, well-matched data is not.</w:t>
      </w:r>
    </w:p>
    <w:tbl>
      <w:tblPr>
        <w:tblW w:w="9360" w:type="dxa"/>
        <w:tblBorders>
          <w:top w:val="single" w:sz="2" w:space="0" w:color="C9CFD8"/>
          <w:bottom w:val="single" w:sz="2" w:space="0" w:color="C9CFD8"/>
          <w:insideH w:val="single" w:sz="2" w:space="0" w:color="E1E5EB"/>
          <w:insideV w:val="single" w:sz="2" w:space="0" w:color="E1E5E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6"/>
        <w:gridCol w:w="3011"/>
        <w:gridCol w:w="3884"/>
        <w:gridCol w:w="829"/>
      </w:tblGrid>
      <w:tr w:rsidR="00E963DE" w14:paraId="24E1F8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36" w:type="dxa"/>
            <w:shd w:val="clear" w:color="auto" w:fill="1A355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8F8" w14:textId="77777777" w:rsidR="00E963DE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011" w:type="dxa"/>
            <w:shd w:val="clear" w:color="auto" w:fill="1A355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8F9" w14:textId="77777777" w:rsidR="00E963DE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Calibrated fields</w:t>
            </w:r>
          </w:p>
        </w:tc>
        <w:tc>
          <w:tcPr>
            <w:tcW w:w="3884" w:type="dxa"/>
            <w:shd w:val="clear" w:color="auto" w:fill="1A355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8FA" w14:textId="77777777" w:rsidR="00E963DE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Candidate reference sources</w:t>
            </w:r>
          </w:p>
        </w:tc>
        <w:tc>
          <w:tcPr>
            <w:tcW w:w="829" w:type="dxa"/>
            <w:shd w:val="clear" w:color="auto" w:fill="1A355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8FB" w14:textId="77777777" w:rsidR="00E963DE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Cred.</w:t>
            </w:r>
          </w:p>
        </w:tc>
      </w:tr>
      <w:tr w:rsidR="00E963DE" w14:paraId="24E1F901" w14:textId="77777777">
        <w:tblPrEx>
          <w:tblCellMar>
            <w:top w:w="0" w:type="dxa"/>
            <w:bottom w:w="0" w:type="dxa"/>
          </w:tblCellMar>
        </w:tblPrEx>
        <w:tc>
          <w:tcPr>
            <w:tcW w:w="163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8FD" w14:textId="77777777" w:rsidR="00E963DE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L1 Active Income</w:t>
            </w:r>
          </w:p>
        </w:tc>
        <w:tc>
          <w:tcPr>
            <w:tcW w:w="3011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8FE" w14:textId="77777777" w:rsidR="00E963DE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rate, billable-hour realism, income</w:t>
            </w:r>
          </w:p>
        </w:tc>
        <w:tc>
          <w:tcPr>
            <w:tcW w:w="388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8FF" w14:textId="77777777" w:rsidR="00E963DE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BLS OES wages (occupation × metro); freelance / consulting rate surveys</w:t>
            </w:r>
          </w:p>
        </w:tc>
        <w:tc>
          <w:tcPr>
            <w:tcW w:w="829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900" w14:textId="77777777" w:rsidR="00E963DE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 / B</w:t>
            </w:r>
          </w:p>
        </w:tc>
      </w:tr>
      <w:tr w:rsidR="00E963DE" w14:paraId="24E1F906" w14:textId="77777777">
        <w:tblPrEx>
          <w:tblCellMar>
            <w:top w:w="0" w:type="dxa"/>
            <w:bottom w:w="0" w:type="dxa"/>
          </w:tblCellMar>
        </w:tblPrEx>
        <w:tc>
          <w:tcPr>
            <w:tcW w:w="163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902" w14:textId="77777777" w:rsidR="00E963DE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L2 Leveraged</w:t>
            </w:r>
          </w:p>
        </w:tc>
        <w:tc>
          <w:tcPr>
            <w:tcW w:w="3011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903" w14:textId="77777777" w:rsidR="00E963DE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speaking fees, cohort pricing, </w:t>
            </w:r>
            <w:proofErr w:type="spellStart"/>
            <w:r>
              <w:rPr>
                <w:sz w:val="18"/>
                <w:szCs w:val="18"/>
              </w:rPr>
              <w:t>waitlist→launch</w:t>
            </w:r>
            <w:proofErr w:type="spellEnd"/>
            <w:r>
              <w:rPr>
                <w:sz w:val="18"/>
                <w:szCs w:val="18"/>
              </w:rPr>
              <w:t xml:space="preserve"> conversion</w:t>
            </w:r>
          </w:p>
        </w:tc>
        <w:tc>
          <w:tcPr>
            <w:tcW w:w="388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904" w14:textId="77777777" w:rsidR="00E963DE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industry fee guides; cohort-course benchmarks</w:t>
            </w:r>
          </w:p>
        </w:tc>
        <w:tc>
          <w:tcPr>
            <w:tcW w:w="829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905" w14:textId="77777777" w:rsidR="00E963DE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 / C</w:t>
            </w:r>
          </w:p>
        </w:tc>
      </w:tr>
      <w:tr w:rsidR="00E963DE" w14:paraId="24E1F90B" w14:textId="77777777">
        <w:tblPrEx>
          <w:tblCellMar>
            <w:top w:w="0" w:type="dxa"/>
            <w:bottom w:w="0" w:type="dxa"/>
          </w:tblCellMar>
        </w:tblPrEx>
        <w:tc>
          <w:tcPr>
            <w:tcW w:w="163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907" w14:textId="77777777" w:rsidR="00E963DE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L3 Productized</w:t>
            </w:r>
          </w:p>
        </w:tc>
        <w:tc>
          <w:tcPr>
            <w:tcW w:w="3011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908" w14:textId="77777777" w:rsidR="00E963DE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opt-in %, sales-page conversion %, refund / churn</w:t>
            </w:r>
          </w:p>
        </w:tc>
        <w:tc>
          <w:tcPr>
            <w:tcW w:w="388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909" w14:textId="77777777" w:rsidR="00E963DE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published launch &amp; membership benchmarks</w:t>
            </w:r>
          </w:p>
        </w:tc>
        <w:tc>
          <w:tcPr>
            <w:tcW w:w="829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90A" w14:textId="77777777" w:rsidR="00E963DE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 / C</w:t>
            </w:r>
          </w:p>
        </w:tc>
      </w:tr>
      <w:tr w:rsidR="00E963DE" w14:paraId="24E1F910" w14:textId="77777777">
        <w:tblPrEx>
          <w:tblCellMar>
            <w:top w:w="0" w:type="dxa"/>
            <w:bottom w:w="0" w:type="dxa"/>
          </w:tblCellMar>
        </w:tblPrEx>
        <w:tc>
          <w:tcPr>
            <w:tcW w:w="163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90C" w14:textId="77777777" w:rsidR="00E963DE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L4 Automated Residual</w:t>
            </w:r>
          </w:p>
        </w:tc>
        <w:tc>
          <w:tcPr>
            <w:tcW w:w="3011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90D" w14:textId="77777777" w:rsidR="00E963DE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SEO CTR curves, email open/click, SaaS conversion / churn, </w:t>
            </w:r>
            <w:proofErr w:type="gramStart"/>
            <w:r>
              <w:rPr>
                <w:sz w:val="18"/>
                <w:szCs w:val="18"/>
              </w:rPr>
              <w:t>ad</w:t>
            </w:r>
            <w:proofErr w:type="gramEnd"/>
            <w:r>
              <w:rPr>
                <w:sz w:val="18"/>
                <w:szCs w:val="18"/>
              </w:rPr>
              <w:t xml:space="preserve"> CPM/CPC</w:t>
            </w:r>
          </w:p>
        </w:tc>
        <w:tc>
          <w:tcPr>
            <w:tcW w:w="388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90E" w14:textId="77777777" w:rsidR="00E963DE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search CTR studies; email &amp; SaaS benchmark reports</w:t>
            </w:r>
          </w:p>
        </w:tc>
        <w:tc>
          <w:tcPr>
            <w:tcW w:w="829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90F" w14:textId="77777777" w:rsidR="00E963DE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 / C</w:t>
            </w:r>
          </w:p>
        </w:tc>
      </w:tr>
      <w:tr w:rsidR="00E963DE" w14:paraId="24E1F915" w14:textId="77777777">
        <w:tblPrEx>
          <w:tblCellMar>
            <w:top w:w="0" w:type="dxa"/>
            <w:bottom w:w="0" w:type="dxa"/>
          </w:tblCellMar>
        </w:tblPrEx>
        <w:tc>
          <w:tcPr>
            <w:tcW w:w="1636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911" w14:textId="77777777" w:rsidR="00E963DE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L5 Wealth Deployment</w:t>
            </w:r>
          </w:p>
        </w:tc>
        <w:tc>
          <w:tcPr>
            <w:tcW w:w="3011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912" w14:textId="77777777" w:rsidR="00E963DE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asset-class returns, withdrawal rates, price-to-rent</w:t>
            </w:r>
          </w:p>
        </w:tc>
        <w:tc>
          <w:tcPr>
            <w:tcW w:w="3884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913" w14:textId="77777777" w:rsidR="00E963DE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historical return series; Fed / public market data</w:t>
            </w:r>
          </w:p>
        </w:tc>
        <w:tc>
          <w:tcPr>
            <w:tcW w:w="829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E1F914" w14:textId="77777777" w:rsidR="00E963DE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 / B</w:t>
            </w:r>
          </w:p>
        </w:tc>
      </w:tr>
    </w:tbl>
    <w:p w14:paraId="24E1F916" w14:textId="77777777" w:rsidR="00E963DE" w:rsidRDefault="00E963DE">
      <w:pPr>
        <w:spacing w:after="80"/>
      </w:pPr>
    </w:p>
    <w:p w14:paraId="24E1F917" w14:textId="77777777" w:rsidR="00E963DE" w:rsidRDefault="00000000">
      <w:pPr>
        <w:spacing w:after="140" w:line="264" w:lineRule="auto"/>
        <w:jc w:val="both"/>
      </w:pPr>
      <w:r>
        <w:rPr>
          <w:b/>
          <w:bCs/>
          <w:color w:val="1A3557"/>
        </w:rPr>
        <w:t>Rule:</w:t>
      </w:r>
      <w:r>
        <w:t xml:space="preserve"> an output's confidence tier is capped by its dataset's credibility tier — Tier-C data can never render as “High confidence.”</w:t>
      </w:r>
    </w:p>
    <w:p w14:paraId="24E1F918" w14:textId="77777777" w:rsidR="00E963DE" w:rsidRDefault="00000000">
      <w:pPr>
        <w:pStyle w:val="Heading1"/>
        <w:pBdr>
          <w:bottom w:val="single" w:sz="10" w:space="6" w:color="C9952A"/>
        </w:pBdr>
      </w:pPr>
      <w:r>
        <w:rPr>
          <w:color w:val="C9952A"/>
        </w:rPr>
        <w:t xml:space="preserve">9.  </w:t>
      </w:r>
      <w:r>
        <w:t>Calibration Methodology (Bayesian core)</w:t>
      </w:r>
    </w:p>
    <w:p w14:paraId="24E1F919" w14:textId="77777777" w:rsidR="00E963DE" w:rsidRDefault="00000000">
      <w:pPr>
        <w:spacing w:after="140" w:line="264" w:lineRule="auto"/>
        <w:jc w:val="both"/>
      </w:pPr>
      <w:r>
        <w:t>For a calibrated field the engine computes a posterior by combining the agent's estimate with the reference distribution, precision-weighted:</w:t>
      </w:r>
    </w:p>
    <w:p w14:paraId="24E1F91A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>Prior</w:t>
      </w:r>
      <w:r>
        <w:t xml:space="preserve"> = agent raw value with a model-uncertainty spread </w:t>
      </w:r>
      <w:proofErr w:type="spellStart"/>
      <w:r>
        <w:t>σ_model</w:t>
      </w:r>
      <w:proofErr w:type="spellEnd"/>
      <w:r>
        <w:t xml:space="preserve"> (config default).</w:t>
      </w:r>
    </w:p>
    <w:p w14:paraId="24E1F91B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>Likelihood</w:t>
      </w:r>
      <w:r>
        <w:t xml:space="preserve"> = reference distribution for the matched cohort (p10/p50/p90 → implied </w:t>
      </w:r>
      <w:proofErr w:type="spellStart"/>
      <w:r>
        <w:t>σ_ref</w:t>
      </w:r>
      <w:proofErr w:type="spellEnd"/>
      <w:r>
        <w:t>).</w:t>
      </w:r>
    </w:p>
    <w:p w14:paraId="24E1F91C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>Posterior mean</w:t>
      </w:r>
      <w:r>
        <w:t xml:space="preserve"> = precision-weighted blend </w:t>
      </w: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τ_model·raw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τ_ref·p50) / (</w:t>
      </w:r>
      <w:proofErr w:type="spellStart"/>
      <w:r>
        <w:rPr>
          <w:rFonts w:ascii="Consolas" w:eastAsia="Consolas" w:hAnsi="Consolas" w:cs="Consolas"/>
          <w:sz w:val="18"/>
          <w:szCs w:val="18"/>
        </w:rPr>
        <w:t>τ_model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τ_ref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t>, where τ = 1/σ².</w:t>
      </w:r>
    </w:p>
    <w:p w14:paraId="24E1F91D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>Posterior spread</w:t>
      </w:r>
      <w:r>
        <w:t xml:space="preserve"> widens as </w:t>
      </w:r>
      <w:proofErr w:type="spellStart"/>
      <w:r>
        <w:t>sample_size</w:t>
      </w:r>
      <w:proofErr w:type="spellEnd"/>
      <w:r>
        <w:t xml:space="preserve"> shrinks (thin data → wide band). Report </w:t>
      </w:r>
      <w:proofErr w:type="spellStart"/>
      <w:r>
        <w:t>cal_low</w:t>
      </w:r>
      <w:proofErr w:type="spellEnd"/>
      <w:r>
        <w:t xml:space="preserve"> / </w:t>
      </w:r>
      <w:proofErr w:type="spellStart"/>
      <w:r>
        <w:t>cal_mid</w:t>
      </w:r>
      <w:proofErr w:type="spellEnd"/>
      <w:r>
        <w:t xml:space="preserve"> / </w:t>
      </w:r>
      <w:proofErr w:type="spellStart"/>
      <w:r>
        <w:t>cal_high</w:t>
      </w:r>
      <w:proofErr w:type="spellEnd"/>
      <w:r>
        <w:t xml:space="preserve"> at the configured percentiles.</w:t>
      </w:r>
    </w:p>
    <w:p w14:paraId="24E1F91E" w14:textId="77777777" w:rsidR="00E963DE" w:rsidRDefault="00000000">
      <w:pPr>
        <w:spacing w:after="140" w:line="264" w:lineRule="auto"/>
        <w:jc w:val="both"/>
      </w:pPr>
      <w:r>
        <w:rPr>
          <w:b/>
          <w:bCs/>
          <w:color w:val="1A3557"/>
        </w:rPr>
        <w:t xml:space="preserve">Thin-data guard (Overfitting): </w:t>
      </w:r>
      <w:r>
        <w:t xml:space="preserve">below </w:t>
      </w:r>
      <w:proofErr w:type="spellStart"/>
      <w:r>
        <w:t>min_sample_moderate</w:t>
      </w:r>
      <w:proofErr w:type="spellEnd"/>
      <w:r>
        <w:t>, the engine refuses to let a sparse reference dominate — it returns the raw value with a widened band and a Directional tier, and the UI says so plainly. Better an honest wide range than a falsely precise narrow one.</w:t>
      </w:r>
    </w:p>
    <w:p w14:paraId="24E1F91F" w14:textId="77777777" w:rsidR="00E963DE" w:rsidRDefault="00000000">
      <w:pPr>
        <w:pStyle w:val="Heading1"/>
        <w:pBdr>
          <w:bottom w:val="single" w:sz="10" w:space="6" w:color="C9952A"/>
        </w:pBdr>
      </w:pPr>
      <w:r>
        <w:rPr>
          <w:color w:val="C9952A"/>
        </w:rPr>
        <w:t xml:space="preserve">10.  </w:t>
      </w:r>
      <w:r>
        <w:t>The Outcome Feedback Loop (flywheel)</w:t>
      </w:r>
    </w:p>
    <w:p w14:paraId="24E1F920" w14:textId="77777777" w:rsidR="00E963DE" w:rsidRDefault="00000000">
      <w:pPr>
        <w:spacing w:after="140" w:line="264" w:lineRule="auto"/>
        <w:jc w:val="both"/>
      </w:pPr>
      <w:r>
        <w:t>After a simulation resolves in the real world, the user can report the actual value. Reports accumulate in outcome_reports. A nightly job:</w:t>
      </w:r>
    </w:p>
    <w:p w14:paraId="24E1F921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Groups verified reports by cohort.</w:t>
      </w:r>
    </w:p>
    <w:p w14:paraId="24E1F922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proofErr w:type="gramStart"/>
      <w:r>
        <w:t>Compares</w:t>
      </w:r>
      <w:proofErr w:type="gramEnd"/>
      <w:r>
        <w:t xml:space="preserve"> them to the current reference distribution → computes </w:t>
      </w:r>
      <w:proofErr w:type="spellStart"/>
      <w:r>
        <w:t>drift_pct</w:t>
      </w:r>
      <w:proofErr w:type="spellEnd"/>
      <w:r>
        <w:t>.</w:t>
      </w:r>
    </w:p>
    <w:p w14:paraId="24E1F923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Optimal-Stopping gate: </w:t>
      </w:r>
      <w:r>
        <w:t xml:space="preserve">only reweights a cohort once it has ≥ </w:t>
      </w:r>
      <w:proofErr w:type="spellStart"/>
      <w:r>
        <w:t>min_reports_to_reweight</w:t>
      </w:r>
      <w:proofErr w:type="spellEnd"/>
      <w:r>
        <w:t xml:space="preserve"> (</w:t>
      </w:r>
      <w:proofErr w:type="gramStart"/>
      <w:r>
        <w:t>config) —</w:t>
      </w:r>
      <w:proofErr w:type="gramEnd"/>
      <w:r>
        <w:t xml:space="preserve"> don't chase noise from the first few reports.</w:t>
      </w:r>
    </w:p>
    <w:p w14:paraId="24E1F924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lastRenderedPageBreak/>
        <w:t xml:space="preserve">If drift exceeds </w:t>
      </w:r>
      <w:proofErr w:type="spellStart"/>
      <w:r>
        <w:t>drift_threshold_pct</w:t>
      </w:r>
      <w:proofErr w:type="spellEnd"/>
      <w:r>
        <w:t>, flags the dataset for review and (optionally) blends reports into an adjusted reference distribution.</w:t>
      </w:r>
    </w:p>
    <w:p w14:paraId="24E1F925" w14:textId="77777777" w:rsidR="00E963DE" w:rsidRDefault="00000000">
      <w:pPr>
        <w:spacing w:after="140" w:line="264" w:lineRule="auto"/>
        <w:jc w:val="both"/>
      </w:pPr>
      <w:r>
        <w:t>This loop is Simulacrum's structural advantage: it observes individual longitudinal outcomes that population-level competitors do not see.</w:t>
      </w:r>
    </w:p>
    <w:p w14:paraId="24E1F926" w14:textId="77777777" w:rsidR="00E963DE" w:rsidRDefault="00000000">
      <w:pPr>
        <w:pStyle w:val="Heading1"/>
        <w:pBdr>
          <w:bottom w:val="single" w:sz="10" w:space="6" w:color="C9952A"/>
        </w:pBdr>
      </w:pPr>
      <w:r>
        <w:rPr>
          <w:color w:val="C9952A"/>
        </w:rPr>
        <w:t xml:space="preserve">11.  </w:t>
      </w:r>
      <w:r>
        <w:t>Algorithms to Live By — Explicit Mapping</w:t>
      </w:r>
    </w:p>
    <w:p w14:paraId="24E1F927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>Bayesian Updating</w:t>
      </w:r>
      <w:r>
        <w:t xml:space="preserve"> — the calibration itself: prior (agent) updated by likelihood (reference) → posterior (range).</w:t>
      </w:r>
    </w:p>
    <w:p w14:paraId="24E1F928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>Overfitting</w:t>
      </w:r>
      <w:r>
        <w:t xml:space="preserve"> — thin/mismatched data must widen bands and drop to Directional; never over-fit to a sparse source.</w:t>
      </w:r>
    </w:p>
    <w:p w14:paraId="24E1F929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>Optimal Stopping (37</w:t>
      </w:r>
      <w:proofErr w:type="gramStart"/>
      <w:r>
        <w:rPr>
          <w:b/>
          <w:bCs/>
          <w:color w:val="1A3557"/>
        </w:rPr>
        <w:t>%)</w:t>
      </w:r>
      <w:r>
        <w:t xml:space="preserve"> —</w:t>
      </w:r>
      <w:proofErr w:type="gramEnd"/>
      <w:r>
        <w:t xml:space="preserve"> the recalibration gate: sample enough outcome reports before trusting a reweight; and a stopping rule for how long to hunt for a better dataset before shipping.</w:t>
      </w:r>
    </w:p>
    <w:p w14:paraId="24E1F92A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>Explore vs. Exploit</w:t>
      </w:r>
      <w:r>
        <w:t xml:space="preserve"> — dataset investment: exploit </w:t>
      </w:r>
      <w:proofErr w:type="gramStart"/>
      <w:r>
        <w:t>known</w:t>
      </w:r>
      <w:proofErr w:type="gramEnd"/>
      <w:r>
        <w:t>-good Tier-A sources for hub agents; explore new sources for the long tail.</w:t>
      </w:r>
    </w:p>
    <w:p w14:paraId="24E1F92B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>Caching</w:t>
      </w:r>
      <w:r>
        <w:t xml:space="preserve"> — reference lookups and posteriors are </w:t>
      </w:r>
      <w:proofErr w:type="spellStart"/>
      <w:r>
        <w:t>memoized</w:t>
      </w:r>
      <w:proofErr w:type="spellEnd"/>
      <w:r>
        <w:t xml:space="preserve"> per (</w:t>
      </w:r>
      <w:proofErr w:type="spellStart"/>
      <w:r>
        <w:t>agent_key</w:t>
      </w:r>
      <w:proofErr w:type="spellEnd"/>
      <w:r>
        <w:t xml:space="preserve">, </w:t>
      </w:r>
      <w:proofErr w:type="spellStart"/>
      <w:r>
        <w:t>cohort_hash</w:t>
      </w:r>
      <w:proofErr w:type="spellEnd"/>
      <w:r>
        <w:t>); reference data changes slowly, so cache aggressively and invalidate on refresh.</w:t>
      </w:r>
    </w:p>
    <w:p w14:paraId="24E1F92C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Scheduling (shortest-job-first, </w:t>
      </w:r>
      <w:proofErr w:type="gramStart"/>
      <w:r>
        <w:rPr>
          <w:b/>
          <w:bCs/>
          <w:color w:val="1A3557"/>
        </w:rPr>
        <w:t>weighted)</w:t>
      </w:r>
      <w:r>
        <w:t xml:space="preserve"> —</w:t>
      </w:r>
      <w:proofErr w:type="gramEnd"/>
      <w:r>
        <w:t xml:space="preserve"> calibrate the highest-impact hub agents first: the Rate Card (L1) is the root every other agent </w:t>
      </w:r>
      <w:proofErr w:type="gramStart"/>
      <w:r>
        <w:t>references</w:t>
      </w:r>
      <w:proofErr w:type="gramEnd"/>
      <w:r>
        <w:t>, so it is calibrated before anything else.</w:t>
      </w:r>
    </w:p>
    <w:p w14:paraId="24E1F92D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>Relaxation</w:t>
      </w:r>
      <w:r>
        <w:t xml:space="preserve"> — ship Layer 1 calibration alone as </w:t>
      </w:r>
      <w:proofErr w:type="gramStart"/>
      <w:r>
        <w:t>a good</w:t>
      </w:r>
      <w:proofErr w:type="gramEnd"/>
      <w:r>
        <w:t>-enough proof before all five layers; a shipped approximation beats a perfect launch that never arrives.</w:t>
      </w:r>
    </w:p>
    <w:p w14:paraId="24E1F92E" w14:textId="77777777" w:rsidR="00E963DE" w:rsidRDefault="00000000">
      <w:pPr>
        <w:pStyle w:val="Heading1"/>
        <w:pBdr>
          <w:bottom w:val="single" w:sz="10" w:space="6" w:color="C9952A"/>
        </w:pBdr>
      </w:pPr>
      <w:r>
        <w:rPr>
          <w:color w:val="C9952A"/>
        </w:rPr>
        <w:t xml:space="preserve">12.  </w:t>
      </w:r>
      <w:r>
        <w:t>UI / UX Specification</w:t>
      </w:r>
    </w:p>
    <w:p w14:paraId="24E1F92F" w14:textId="77777777" w:rsidR="00E963DE" w:rsidRDefault="00000000">
      <w:pPr>
        <w:spacing w:after="140" w:line="264" w:lineRule="auto"/>
        <w:jc w:val="both"/>
      </w:pPr>
      <w:r>
        <w:t xml:space="preserve">The interactive mockup ships alongside this PRD as </w:t>
      </w:r>
      <w:r>
        <w:rPr>
          <w:rFonts w:ascii="Consolas" w:eastAsia="Consolas" w:hAnsi="Consolas" w:cs="Consolas"/>
          <w:sz w:val="19"/>
          <w:szCs w:val="19"/>
        </w:rPr>
        <w:t>calibration_ui_mockup.html</w:t>
      </w:r>
      <w:r>
        <w:t xml:space="preserve"> (Midnight Gold theme). The figure below shows the calibrated result card in its High- and Moderate-confidence states with the methodology drawer open.</w:t>
      </w:r>
    </w:p>
    <w:tbl>
      <w:tblPr>
        <w:tblW w:w="9360" w:type="dxa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20"/>
      </w:tblGrid>
      <w:tr w:rsidR="00E963DE" w14:paraId="24E1F9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1F930" w14:textId="77777777" w:rsidR="00E963DE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4E1F969" wp14:editId="24E1F96A">
                  <wp:extent cx="5943600" cy="43338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33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E1F932" w14:textId="77777777" w:rsidR="00E963DE" w:rsidRDefault="00000000">
      <w:pPr>
        <w:spacing w:after="140"/>
        <w:jc w:val="center"/>
      </w:pPr>
      <w:r>
        <w:rPr>
          <w:i/>
          <w:iCs/>
          <w:color w:val="6B7B8D"/>
          <w:sz w:val="17"/>
          <w:szCs w:val="17"/>
        </w:rPr>
        <w:t>Figure 1 — Calibrated result cards (High and Moderate tiers), methodology drawer expanded.</w:t>
      </w:r>
    </w:p>
    <w:p w14:paraId="24E1F933" w14:textId="77777777" w:rsidR="00E963DE" w:rsidRDefault="00000000">
      <w:pPr>
        <w:pStyle w:val="Heading2"/>
      </w:pPr>
      <w:r>
        <w:rPr>
          <w:color w:val="C9952A"/>
        </w:rPr>
        <w:t xml:space="preserve">12.1  </w:t>
      </w:r>
      <w:r>
        <w:t>Design principles</w:t>
      </w:r>
    </w:p>
    <w:p w14:paraId="24E1F934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Range, not point. </w:t>
      </w:r>
      <w:r>
        <w:t>Never show a lone number for a calibrated field — always low–high with the mid marked.</w:t>
      </w:r>
    </w:p>
    <w:p w14:paraId="24E1F935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Glanceable truth. </w:t>
      </w:r>
      <w:r>
        <w:t>A user grasps “how confident, anchored to what” in under two seconds via the tier chip and one-line source.</w:t>
      </w:r>
    </w:p>
    <w:p w14:paraId="24E1F936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Cite the source, always. </w:t>
      </w:r>
      <w:r>
        <w:t>Every calibrated value carries a visible “calibrated against …” line. Transparency is the trust moat.</w:t>
      </w:r>
    </w:p>
    <w:p w14:paraId="24E1F937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Honest about uncertainty. </w:t>
      </w:r>
      <w:r>
        <w:t>Low confidence is shown, not hidden — a wide amber band reads as more trustworthy, because it is not pretending.</w:t>
      </w:r>
    </w:p>
    <w:p w14:paraId="24E1F938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Progressive disclosure. </w:t>
      </w:r>
      <w:r>
        <w:t>The card is simple by default; the methodology (prior → data → posterior) lives in an optional drawer.</w:t>
      </w:r>
    </w:p>
    <w:p w14:paraId="24E1F939" w14:textId="77777777" w:rsidR="00E963DE" w:rsidRDefault="00000000">
      <w:pPr>
        <w:pStyle w:val="Heading2"/>
      </w:pPr>
      <w:r>
        <w:rPr>
          <w:color w:val="C9952A"/>
        </w:rPr>
        <w:t xml:space="preserve">12.2  </w:t>
      </w:r>
      <w:r>
        <w:t>The Calibrated Result Card (anatomy)</w:t>
      </w:r>
    </w:p>
    <w:p w14:paraId="24E1F93A" w14:textId="77777777" w:rsidR="00E963DE" w:rsidRDefault="00000000">
      <w:pPr>
        <w:spacing w:after="140" w:line="264" w:lineRule="auto"/>
        <w:jc w:val="both"/>
      </w:pPr>
      <w:r>
        <w:t>Top-to-bottom: field label; headline range (large, with the midpoint marked); confidence band; tier chip; source line with an info affordance; a “How this was calibrated” drawer toggle; and an outcome-report affordance.</w:t>
      </w:r>
    </w:p>
    <w:p w14:paraId="24E1F93B" w14:textId="77777777" w:rsidR="00E963DE" w:rsidRDefault="00000000">
      <w:pPr>
        <w:pStyle w:val="Heading2"/>
      </w:pPr>
      <w:r>
        <w:rPr>
          <w:color w:val="C9952A"/>
        </w:rPr>
        <w:t xml:space="preserve">12.3  </w:t>
      </w:r>
      <w:r>
        <w:t>Confidence band</w:t>
      </w:r>
    </w:p>
    <w:p w14:paraId="24E1F93C" w14:textId="77777777" w:rsidR="00E963DE" w:rsidRDefault="00000000">
      <w:pPr>
        <w:spacing w:after="140" w:line="264" w:lineRule="auto"/>
        <w:jc w:val="both"/>
      </w:pPr>
      <w:r>
        <w:lastRenderedPageBreak/>
        <w:t xml:space="preserve">A horizontal bar: the shaded region is </w:t>
      </w:r>
      <w:proofErr w:type="spellStart"/>
      <w:r>
        <w:t>low→high</w:t>
      </w:r>
      <w:proofErr w:type="spellEnd"/>
      <w:r>
        <w:t xml:space="preserve"> (p10–p90) in the tier color; a solid gold tick marks the calibrated midpoint; a dashed tick marks the raw model </w:t>
      </w:r>
      <w:proofErr w:type="gramStart"/>
      <w:r>
        <w:t>estimate</w:t>
      </w:r>
      <w:proofErr w:type="gramEnd"/>
      <w:r>
        <w:t xml:space="preserve"> so the user sees how far calibration moved it. Endpoint labels for low and high. A wider band literally looks less certain.</w:t>
      </w:r>
    </w:p>
    <w:p w14:paraId="24E1F93D" w14:textId="77777777" w:rsidR="00E963DE" w:rsidRDefault="00000000">
      <w:pPr>
        <w:pStyle w:val="Heading2"/>
      </w:pPr>
      <w:r>
        <w:rPr>
          <w:color w:val="C9952A"/>
        </w:rPr>
        <w:t xml:space="preserve">12.4  </w:t>
      </w:r>
      <w:r>
        <w:t>Confidence tier chip</w:t>
      </w:r>
    </w:p>
    <w:p w14:paraId="24E1F93E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2E7D8C"/>
        </w:rPr>
        <w:t>High</w:t>
      </w:r>
      <w:r>
        <w:t xml:space="preserve"> (</w:t>
      </w:r>
      <w:proofErr w:type="gramStart"/>
      <w:r>
        <w:t>teal) —</w:t>
      </w:r>
      <w:proofErr w:type="gramEnd"/>
      <w:r>
        <w:t xml:space="preserve"> dense, Tier-A/B data. “High confidence · dense matching data.”</w:t>
      </w:r>
    </w:p>
    <w:p w14:paraId="24E1F93F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C9952A"/>
        </w:rPr>
        <w:t>Moderate</w:t>
      </w:r>
      <w:r>
        <w:t xml:space="preserve"> (</w:t>
      </w:r>
      <w:proofErr w:type="gramStart"/>
      <w:r>
        <w:t>gold) —</w:t>
      </w:r>
      <w:proofErr w:type="gramEnd"/>
      <w:r>
        <w:t xml:space="preserve"> some data, wider band. “Moderate · partial matching data.”</w:t>
      </w:r>
    </w:p>
    <w:p w14:paraId="24E1F940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B4791F"/>
        </w:rPr>
        <w:t>Directional</w:t>
      </w:r>
      <w:r>
        <w:t xml:space="preserve"> (</w:t>
      </w:r>
      <w:proofErr w:type="gramStart"/>
      <w:r>
        <w:t>amber) —</w:t>
      </w:r>
      <w:proofErr w:type="gramEnd"/>
      <w:r>
        <w:t xml:space="preserve"> thin/proxy data. “Directional only — treat as a signal, not a forecast.” The chip is tappable and explains what would raise the </w:t>
      </w:r>
      <w:proofErr w:type="gramStart"/>
      <w:r>
        <w:t>tier</w:t>
      </w:r>
      <w:proofErr w:type="gramEnd"/>
      <w:r>
        <w:t>.</w:t>
      </w:r>
    </w:p>
    <w:p w14:paraId="24E1F941" w14:textId="77777777" w:rsidR="00E963DE" w:rsidRDefault="00000000">
      <w:pPr>
        <w:pStyle w:val="Heading2"/>
      </w:pPr>
      <w:r>
        <w:rPr>
          <w:color w:val="C9952A"/>
        </w:rPr>
        <w:t xml:space="preserve">12.5  </w:t>
      </w:r>
      <w:r>
        <w:t>Methodology drawer</w:t>
      </w:r>
    </w:p>
    <w:p w14:paraId="24E1F942" w14:textId="77777777" w:rsidR="00E963DE" w:rsidRDefault="00000000">
      <w:pPr>
        <w:spacing w:after="140" w:line="264" w:lineRule="auto"/>
        <w:jc w:val="both"/>
      </w:pPr>
      <w:r>
        <w:t>Collapsed by default. Expanded, it shows a three-step visual — Model estimate (prior) → Reference data (likelihood) → Calibrated range (</w:t>
      </w:r>
      <w:proofErr w:type="gramStart"/>
      <w:r>
        <w:t>posterior) —</w:t>
      </w:r>
      <w:proofErr w:type="gramEnd"/>
      <w:r>
        <w:t xml:space="preserve"> with the three numbers, sample size, dataset name + link, method, and the data's as-of date. This is where a skeptical user is converted.</w:t>
      </w:r>
    </w:p>
    <w:p w14:paraId="24E1F943" w14:textId="77777777" w:rsidR="00E963DE" w:rsidRDefault="00000000">
      <w:pPr>
        <w:pStyle w:val="Heading2"/>
      </w:pPr>
      <w:r>
        <w:rPr>
          <w:color w:val="C9952A"/>
        </w:rPr>
        <w:t xml:space="preserve">12.6  </w:t>
      </w:r>
      <w:r>
        <w:t>Directional / low-data state</w:t>
      </w:r>
    </w:p>
    <w:p w14:paraId="24E1F944" w14:textId="77777777" w:rsidR="00E963DE" w:rsidRDefault="00000000">
      <w:pPr>
        <w:spacing w:after="140" w:line="264" w:lineRule="auto"/>
        <w:jc w:val="both"/>
      </w:pPr>
      <w:r>
        <w:t>Thin data must look different, not just read differently: a visibly wider amber band, an inline note (“we don't yet have strong data for your exact situation, so this is directional — reporting your real outcome later will sharpen it”), and the proxy dataset named in the drawer.</w:t>
      </w:r>
    </w:p>
    <w:p w14:paraId="24E1F945" w14:textId="77777777" w:rsidR="00E963DE" w:rsidRDefault="00000000">
      <w:pPr>
        <w:pStyle w:val="Heading2"/>
      </w:pPr>
      <w:r>
        <w:rPr>
          <w:color w:val="C9952A"/>
        </w:rPr>
        <w:t xml:space="preserve">12.7  </w:t>
      </w:r>
      <w:r>
        <w:t>Outcome-reporting widget (flywheel)</w:t>
      </w:r>
    </w:p>
    <w:p w14:paraId="24E1F946" w14:textId="77777777" w:rsidR="00E963DE" w:rsidRDefault="00000000">
      <w:pPr>
        <w:spacing w:after="140" w:line="264" w:lineRule="auto"/>
        <w:jc w:val="both"/>
      </w:pPr>
      <w:r>
        <w:t xml:space="preserve">A one-field, low-friction form on any resolved simulation (“Ran this for </w:t>
      </w:r>
      <w:proofErr w:type="gramStart"/>
      <w:r>
        <w:t>real?</w:t>
      </w:r>
      <w:proofErr w:type="gramEnd"/>
      <w:r>
        <w:t xml:space="preserve"> Report your outcome”). On submit, a warm confirmation frames the contribution. Reported values are private by default; only aggregated, de-identified distributions influence reference data.</w:t>
      </w:r>
    </w:p>
    <w:p w14:paraId="24E1F947" w14:textId="77777777" w:rsidR="00E963DE" w:rsidRDefault="00000000">
      <w:pPr>
        <w:pStyle w:val="Heading2"/>
      </w:pPr>
      <w:r>
        <w:rPr>
          <w:color w:val="C9952A"/>
        </w:rPr>
        <w:t xml:space="preserve">12.8  </w:t>
      </w:r>
      <w:r>
        <w:t>Admin calibration console</w:t>
      </w:r>
    </w:p>
    <w:p w14:paraId="24E1F948" w14:textId="77777777" w:rsidR="00E963DE" w:rsidRDefault="00000000">
      <w:pPr>
        <w:spacing w:after="140" w:line="264" w:lineRule="auto"/>
        <w:jc w:val="both"/>
      </w:pPr>
      <w:r>
        <w:t xml:space="preserve">Midnight-Gold admin surface with a Datasets tab (CRUD, upload/refresh, credibility tier, cadence), per-agent config (bind </w:t>
      </w:r>
      <w:proofErr w:type="spellStart"/>
      <w:r>
        <w:t>output_field</w:t>
      </w:r>
      <w:proofErr w:type="spellEnd"/>
      <w:r>
        <w:t xml:space="preserve"> to a dataset; set percentiles, </w:t>
      </w:r>
      <w:proofErr w:type="spellStart"/>
      <w:r>
        <w:t>min_sample</w:t>
      </w:r>
      <w:proofErr w:type="spellEnd"/>
      <w:r>
        <w:t xml:space="preserve">_*, </w:t>
      </w:r>
      <w:proofErr w:type="spellStart"/>
      <w:r>
        <w:t>band_floor_pct</w:t>
      </w:r>
      <w:proofErr w:type="spellEnd"/>
      <w:r>
        <w:t xml:space="preserve">, </w:t>
      </w:r>
      <w:proofErr w:type="spellStart"/>
      <w:r>
        <w:t>drift_threshold_pct</w:t>
      </w:r>
      <w:proofErr w:type="spellEnd"/>
      <w:r>
        <w:t xml:space="preserve">, enable toggle), and a Drift monitor with one-click reweight/flag. If calibration is offered as a gated capability, the gate references the </w:t>
      </w:r>
      <w:r>
        <w:rPr>
          <w:b/>
          <w:bCs/>
        </w:rPr>
        <w:t>simulation price configured in Admin → Pricing</w:t>
      </w:r>
      <w:r>
        <w:t>; no price is hardcoded here.</w:t>
      </w:r>
    </w:p>
    <w:p w14:paraId="24E1F949" w14:textId="77777777" w:rsidR="00E963DE" w:rsidRDefault="00000000">
      <w:pPr>
        <w:pStyle w:val="Heading2"/>
      </w:pPr>
      <w:r>
        <w:rPr>
          <w:color w:val="C9952A"/>
        </w:rPr>
        <w:t xml:space="preserve">12.9  </w:t>
      </w:r>
      <w:r>
        <w:t>Responsive, accessibility &amp; streaming states</w:t>
      </w:r>
    </w:p>
    <w:p w14:paraId="24E1F94A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Mobile: the card stacks (range → full-width band → chip + source → drawer); the band keeps a legible min-width.</w:t>
      </w:r>
    </w:p>
    <w:p w14:paraId="24E1F94B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Accessibility: tier is never color-only (label + icon); band ticks carry ARIA value labels; WCAG-AA contrast on navy.</w:t>
      </w:r>
    </w:p>
    <w:p w14:paraId="24E1F94C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 xml:space="preserve">SSE: a skeleton range + “calibrating…” shimmer while streaming; the band animates from the raw tick to the calibrated </w:t>
      </w:r>
      <w:proofErr w:type="gramStart"/>
      <w:r>
        <w:t>range</w:t>
      </w:r>
      <w:proofErr w:type="gramEnd"/>
      <w:r>
        <w:t xml:space="preserve"> so the anchoring is visible; graceful degrade to the raw value on failure.</w:t>
      </w:r>
    </w:p>
    <w:p w14:paraId="24E1F94D" w14:textId="77777777" w:rsidR="00E963DE" w:rsidRDefault="00000000">
      <w:pPr>
        <w:pStyle w:val="Heading1"/>
        <w:pBdr>
          <w:bottom w:val="single" w:sz="10" w:space="6" w:color="C9952A"/>
        </w:pBdr>
      </w:pPr>
      <w:r>
        <w:rPr>
          <w:color w:val="C9952A"/>
        </w:rPr>
        <w:t xml:space="preserve">13.  </w:t>
      </w:r>
      <w:r>
        <w:t>API / Endpoints (Flask)</w:t>
      </w:r>
    </w:p>
    <w:p w14:paraId="24E1F94E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onsolas" w:eastAsia="Consolas" w:hAnsi="Consolas" w:cs="Consolas"/>
          <w:color w:val="0D1B3E"/>
          <w:sz w:val="18"/>
          <w:szCs w:val="18"/>
        </w:rPr>
        <w:t>POST /</w:t>
      </w:r>
      <w:proofErr w:type="spellStart"/>
      <w:r>
        <w:rPr>
          <w:rFonts w:ascii="Consolas" w:eastAsia="Consolas" w:hAnsi="Consolas" w:cs="Consolas"/>
          <w:color w:val="0D1B3E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0D1B3E"/>
          <w:sz w:val="18"/>
          <w:szCs w:val="18"/>
        </w:rPr>
        <w:t>/simulate</w:t>
      </w:r>
      <w:r>
        <w:t xml:space="preserve"> — existing; each numeric field now returns a calibration object {raw, low, mid, high, tier, dataset, method, cohort} when a config exists.</w:t>
      </w:r>
    </w:p>
    <w:p w14:paraId="24E1F94F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onsolas" w:eastAsia="Consolas" w:hAnsi="Consolas" w:cs="Consolas"/>
          <w:color w:val="0D1B3E"/>
          <w:sz w:val="18"/>
          <w:szCs w:val="18"/>
        </w:rPr>
        <w:t>GET /</w:t>
      </w:r>
      <w:proofErr w:type="spellStart"/>
      <w:r>
        <w:rPr>
          <w:rFonts w:ascii="Consolas" w:eastAsia="Consolas" w:hAnsi="Consolas" w:cs="Consolas"/>
          <w:color w:val="0D1B3E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0D1B3E"/>
          <w:sz w:val="18"/>
          <w:szCs w:val="18"/>
        </w:rPr>
        <w:t>/calibration/:</w:t>
      </w:r>
      <w:proofErr w:type="spellStart"/>
      <w:r>
        <w:rPr>
          <w:rFonts w:ascii="Consolas" w:eastAsia="Consolas" w:hAnsi="Consolas" w:cs="Consolas"/>
          <w:color w:val="0D1B3E"/>
          <w:sz w:val="18"/>
          <w:szCs w:val="18"/>
        </w:rPr>
        <w:t>run_id</w:t>
      </w:r>
      <w:proofErr w:type="spellEnd"/>
      <w:r>
        <w:t xml:space="preserve"> — fetch stored calibration detail for the drawer.</w:t>
      </w:r>
    </w:p>
    <w:p w14:paraId="24E1F950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onsolas" w:eastAsia="Consolas" w:hAnsi="Consolas" w:cs="Consolas"/>
          <w:color w:val="0D1B3E"/>
          <w:sz w:val="18"/>
          <w:szCs w:val="18"/>
        </w:rPr>
        <w:t>POST /</w:t>
      </w:r>
      <w:proofErr w:type="spellStart"/>
      <w:r>
        <w:rPr>
          <w:rFonts w:ascii="Consolas" w:eastAsia="Consolas" w:hAnsi="Consolas" w:cs="Consolas"/>
          <w:color w:val="0D1B3E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0D1B3E"/>
          <w:sz w:val="18"/>
          <w:szCs w:val="18"/>
        </w:rPr>
        <w:t>/outcomes</w:t>
      </w:r>
      <w:r>
        <w:t xml:space="preserve"> — submit an outcome report.</w:t>
      </w:r>
    </w:p>
    <w:p w14:paraId="24E1F951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rFonts w:ascii="Consolas" w:eastAsia="Consolas" w:hAnsi="Consolas" w:cs="Consolas"/>
          <w:color w:val="0D1B3E"/>
          <w:sz w:val="18"/>
          <w:szCs w:val="18"/>
        </w:rPr>
        <w:lastRenderedPageBreak/>
        <w:t>Admin: /admin/</w:t>
      </w:r>
      <w:proofErr w:type="spellStart"/>
      <w:r>
        <w:rPr>
          <w:rFonts w:ascii="Consolas" w:eastAsia="Consolas" w:hAnsi="Consolas" w:cs="Consolas"/>
          <w:color w:val="0D1B3E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color w:val="0D1B3E"/>
          <w:sz w:val="18"/>
          <w:szCs w:val="18"/>
        </w:rPr>
        <w:t>/</w:t>
      </w:r>
      <w:proofErr w:type="gramStart"/>
      <w:r>
        <w:rPr>
          <w:rFonts w:ascii="Consolas" w:eastAsia="Consolas" w:hAnsi="Consolas" w:cs="Consolas"/>
          <w:color w:val="0D1B3E"/>
          <w:sz w:val="18"/>
          <w:szCs w:val="18"/>
        </w:rPr>
        <w:t>datasets · /configs · /</w:t>
      </w:r>
      <w:proofErr w:type="gramEnd"/>
      <w:r>
        <w:rPr>
          <w:rFonts w:ascii="Consolas" w:eastAsia="Consolas" w:hAnsi="Consolas" w:cs="Consolas"/>
          <w:color w:val="0D1B3E"/>
          <w:sz w:val="18"/>
          <w:szCs w:val="18"/>
        </w:rPr>
        <w:t>drift</w:t>
      </w:r>
      <w:r>
        <w:t xml:space="preserve"> — dataset &amp; config CRUD and drift review.</w:t>
      </w:r>
    </w:p>
    <w:p w14:paraId="24E1F952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All numeric responses stream over the existing SSE channel; the calibration object is emitted as a trailing event per field.</w:t>
      </w:r>
    </w:p>
    <w:p w14:paraId="24E1F953" w14:textId="77777777" w:rsidR="00E963DE" w:rsidRDefault="00000000">
      <w:pPr>
        <w:pStyle w:val="Heading1"/>
        <w:pBdr>
          <w:bottom w:val="single" w:sz="10" w:space="6" w:color="C9952A"/>
        </w:pBdr>
      </w:pPr>
      <w:r>
        <w:rPr>
          <w:color w:val="C9952A"/>
        </w:rPr>
        <w:t xml:space="preserve">14.  </w:t>
      </w:r>
      <w:r>
        <w:t>Rollout / Phasing</w:t>
      </w:r>
    </w:p>
    <w:p w14:paraId="24E1F954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Phase 0 — Proof (Relaxation): </w:t>
      </w:r>
      <w:r>
        <w:t>calibrate only the Rate Card (L1) against BLS OES + one rate survey; full UI on that one field. Ship, measure trust lift.</w:t>
      </w:r>
    </w:p>
    <w:p w14:paraId="24E1F955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Phase 1 — Layer 1 complete: </w:t>
      </w:r>
      <w:r>
        <w:t>all 11 L1 agents; admin console v1; caching.</w:t>
      </w:r>
    </w:p>
    <w:p w14:paraId="24E1F956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Phase 2 — Layers 5 and 3: </w:t>
      </w:r>
      <w:r>
        <w:t>strong public data (L5) and high commercial value (L3) next, scheduled shortest-job-first by data availability × impact.</w:t>
      </w:r>
    </w:p>
    <w:p w14:paraId="24E1F957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Phase 3 — Layers 2 &amp; 4 + flywheel: </w:t>
      </w:r>
      <w:r>
        <w:t>remaining layers; enable outcome reporting and the nightly recalibration job.</w:t>
      </w:r>
    </w:p>
    <w:p w14:paraId="24E1F958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Phase 4 — Drift-driven reweighting: </w:t>
      </w:r>
      <w:r>
        <w:t>activate report-based reweighting once volume clears the Optimal-Stopping gate.</w:t>
      </w:r>
    </w:p>
    <w:p w14:paraId="24E1F959" w14:textId="77777777" w:rsidR="00E963DE" w:rsidRDefault="00000000">
      <w:pPr>
        <w:pStyle w:val="Heading1"/>
        <w:pBdr>
          <w:bottom w:val="single" w:sz="10" w:space="6" w:color="C9952A"/>
        </w:pBdr>
      </w:pPr>
      <w:r>
        <w:rPr>
          <w:color w:val="C9952A"/>
        </w:rPr>
        <w:t xml:space="preserve">15.  </w:t>
      </w:r>
      <w:r>
        <w:t>Success Metrics</w:t>
      </w:r>
    </w:p>
    <w:p w14:paraId="24E1F95A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Trust: </w:t>
      </w:r>
      <w:r>
        <w:t>% of simulations where the user opens the source/methodology; self-reported confidence lift.</w:t>
      </w:r>
    </w:p>
    <w:p w14:paraId="24E1F95B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Coverage: </w:t>
      </w:r>
      <w:r>
        <w:t>% of numeric fields with an active calibration config; % rendered High/Moderate vs Directional.</w:t>
      </w:r>
    </w:p>
    <w:p w14:paraId="24E1F95C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Flywheel: </w:t>
      </w:r>
      <w:r>
        <w:t xml:space="preserve">outcome-report submission </w:t>
      </w:r>
      <w:proofErr w:type="gramStart"/>
      <w:r>
        <w:t>rate; #</w:t>
      </w:r>
      <w:proofErr w:type="gramEnd"/>
      <w:r>
        <w:t xml:space="preserve"> cohorts clearing the reweight gate; measured drift trend.</w:t>
      </w:r>
    </w:p>
    <w:p w14:paraId="24E1F95D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Business: </w:t>
      </w:r>
      <w:r>
        <w:t>conversion/retention delta for users who see calibrated vs raw outputs.</w:t>
      </w:r>
    </w:p>
    <w:p w14:paraId="24E1F95E" w14:textId="77777777" w:rsidR="00E963DE" w:rsidRDefault="00000000">
      <w:pPr>
        <w:pStyle w:val="Heading1"/>
        <w:pBdr>
          <w:bottom w:val="single" w:sz="10" w:space="6" w:color="C9952A"/>
        </w:pBdr>
      </w:pPr>
      <w:r>
        <w:rPr>
          <w:color w:val="C9952A"/>
        </w:rPr>
        <w:t xml:space="preserve">16.  </w:t>
      </w:r>
      <w:r>
        <w:t>Risks &amp; Mitigations</w:t>
      </w:r>
    </w:p>
    <w:p w14:paraId="24E1F95F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R1 — Bad/mismatched data is worse than none. </w:t>
      </w:r>
      <w:r>
        <w:t>→ credibility-tier caps; Directional default; conservative sourcing; drawer transparency.</w:t>
      </w:r>
    </w:p>
    <w:p w14:paraId="24E1F960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R2 — Data sourcing is the real cost. </w:t>
      </w:r>
      <w:r>
        <w:t>→ phase by data availability; start with free, defensible Tier-A sources (BLS, Fed).</w:t>
      </w:r>
    </w:p>
    <w:p w14:paraId="24E1F961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R3 — False precision / liability. </w:t>
      </w:r>
      <w:r>
        <w:t xml:space="preserve">→ ranges </w:t>
      </w:r>
      <w:proofErr w:type="gramStart"/>
      <w:r>
        <w:t>not points</w:t>
      </w:r>
      <w:proofErr w:type="gramEnd"/>
      <w:r>
        <w:t>; explicit “not advice” microcopy; L5 always routes to “execute with a professional.”</w:t>
      </w:r>
    </w:p>
    <w:p w14:paraId="24E1F962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R4 — Cold-start (no reports). </w:t>
      </w:r>
      <w:proofErr w:type="gramStart"/>
      <w:r>
        <w:t>→ calibration works</w:t>
      </w:r>
      <w:proofErr w:type="gramEnd"/>
      <w:r>
        <w:t xml:space="preserve"> day one on reference data alone; the flywheel is additive, not required.</w:t>
      </w:r>
    </w:p>
    <w:p w14:paraId="24E1F963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  <w:color w:val="1A3557"/>
        </w:rPr>
        <w:t xml:space="preserve">R5 — Cache staleness. </w:t>
      </w:r>
      <w:r>
        <w:t xml:space="preserve">→ per-dataset refresh cadence; invalidate on refresh; </w:t>
      </w:r>
      <w:proofErr w:type="spellStart"/>
      <w:r>
        <w:t>as_of_date</w:t>
      </w:r>
      <w:proofErr w:type="spellEnd"/>
      <w:r>
        <w:t xml:space="preserve"> shown in the drawer.</w:t>
      </w:r>
    </w:p>
    <w:p w14:paraId="24E1F964" w14:textId="77777777" w:rsidR="00E963DE" w:rsidRDefault="00000000">
      <w:pPr>
        <w:pStyle w:val="Heading1"/>
        <w:pBdr>
          <w:bottom w:val="single" w:sz="10" w:space="6" w:color="C9952A"/>
        </w:pBdr>
      </w:pPr>
      <w:r>
        <w:rPr>
          <w:color w:val="C9952A"/>
        </w:rPr>
        <w:t xml:space="preserve">17.  </w:t>
      </w:r>
      <w:r>
        <w:t>Open Questions</w:t>
      </w:r>
    </w:p>
    <w:p w14:paraId="24E1F965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 xml:space="preserve">Is calibration a free trust feature for all simulations, or a gated capability? (If gated, it references the </w:t>
      </w:r>
      <w:proofErr w:type="gramStart"/>
      <w:r>
        <w:t>Admin</w:t>
      </w:r>
      <w:proofErr w:type="gramEnd"/>
      <w:r>
        <w:t xml:space="preserve"> → Pricing simulation price — decision pending.)</w:t>
      </w:r>
    </w:p>
    <w:p w14:paraId="24E1F966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Minimum credible sourcing for L2 (speaking fees) and long-tail L4 metrics — buy, scrape-with-permission, or partner?</w:t>
      </w:r>
    </w:p>
    <w:p w14:paraId="24E1F967" w14:textId="77777777" w:rsidR="00E963DE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lastRenderedPageBreak/>
        <w:t>Do we surface a single blended tier per simulation, or per-field tiers only? (V1: per-field.)</w:t>
      </w:r>
    </w:p>
    <w:p w14:paraId="24E1F968" w14:textId="77777777" w:rsidR="00E963DE" w:rsidRDefault="00000000">
      <w:pPr>
        <w:pBdr>
          <w:top w:val="single" w:sz="8" w:space="6" w:color="C9952A"/>
        </w:pBdr>
        <w:spacing w:before="220"/>
      </w:pPr>
      <w:proofErr w:type="gramStart"/>
      <w:r>
        <w:rPr>
          <w:i/>
          <w:iCs/>
          <w:color w:val="6B7B8D"/>
          <w:sz w:val="17"/>
          <w:szCs w:val="17"/>
        </w:rPr>
        <w:t>Applies</w:t>
      </w:r>
      <w:proofErr w:type="gramEnd"/>
      <w:r>
        <w:rPr>
          <w:i/>
          <w:iCs/>
          <w:color w:val="6B7B8D"/>
          <w:sz w:val="17"/>
          <w:szCs w:val="17"/>
        </w:rPr>
        <w:t xml:space="preserve"> the standing Simulacrum conventions: Algorithms to Live By lenses (§11), admin-configurable thresholds, 9-char alphanumeric PKs, Midnight Gold theme, SSE streaming, and no hardcoded simulation price.</w:t>
      </w:r>
    </w:p>
    <w:sectPr w:rsidR="00E963DE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A6111" w14:textId="77777777" w:rsidR="00705F90" w:rsidRDefault="00705F90">
      <w:r>
        <w:separator/>
      </w:r>
    </w:p>
  </w:endnote>
  <w:endnote w:type="continuationSeparator" w:id="0">
    <w:p w14:paraId="5881F60A" w14:textId="77777777" w:rsidR="00705F90" w:rsidRDefault="00705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1F96C" w14:textId="07B2EF65" w:rsidR="00E963DE" w:rsidRDefault="00000000">
    <w:pPr>
      <w:jc w:val="center"/>
    </w:pPr>
    <w:r>
      <w:rPr>
        <w:color w:val="6B7B8D"/>
        <w:sz w:val="16"/>
        <w:szCs w:val="16"/>
      </w:rPr>
      <w:t xml:space="preserve">Page </w:t>
    </w:r>
    <w:r>
      <w:rPr>
        <w:color w:val="6B7B8D"/>
        <w:sz w:val="16"/>
        <w:szCs w:val="16"/>
      </w:rPr>
      <w:fldChar w:fldCharType="begin"/>
    </w:r>
    <w:r>
      <w:rPr>
        <w:color w:val="6B7B8D"/>
        <w:sz w:val="16"/>
        <w:szCs w:val="16"/>
      </w:rPr>
      <w:instrText>PAGE</w:instrText>
    </w:r>
    <w:r>
      <w:rPr>
        <w:color w:val="6B7B8D"/>
        <w:sz w:val="16"/>
        <w:szCs w:val="16"/>
      </w:rPr>
      <w:fldChar w:fldCharType="separate"/>
    </w:r>
    <w:r w:rsidR="00636CF7">
      <w:rPr>
        <w:noProof/>
        <w:color w:val="6B7B8D"/>
        <w:sz w:val="16"/>
        <w:szCs w:val="16"/>
      </w:rPr>
      <w:t>2</w:t>
    </w:r>
    <w:r>
      <w:rPr>
        <w:color w:val="6B7B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BDA7B" w14:textId="77777777" w:rsidR="00705F90" w:rsidRDefault="00705F90">
      <w:r>
        <w:separator/>
      </w:r>
    </w:p>
  </w:footnote>
  <w:footnote w:type="continuationSeparator" w:id="0">
    <w:p w14:paraId="311C049F" w14:textId="77777777" w:rsidR="00705F90" w:rsidRDefault="00705F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1F96B" w14:textId="77777777" w:rsidR="00E963DE" w:rsidRDefault="00000000">
    <w:pPr>
      <w:pBdr>
        <w:bottom w:val="single" w:sz="4" w:space="4" w:color="D8DEE6"/>
      </w:pBdr>
      <w:jc w:val="right"/>
    </w:pPr>
    <w:r>
      <w:rPr>
        <w:color w:val="6B7B8D"/>
        <w:sz w:val="15"/>
        <w:szCs w:val="15"/>
      </w:rPr>
      <w:t>PRD-SIM-CAL-001 · The Calibration Layer · Simulacrum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27C3"/>
    <w:multiLevelType w:val="hybridMultilevel"/>
    <w:tmpl w:val="5428DB50"/>
    <w:lvl w:ilvl="0" w:tplc="25327BE6">
      <w:start w:val="1"/>
      <w:numFmt w:val="bullet"/>
      <w:lvlText w:val="●"/>
      <w:lvlJc w:val="left"/>
      <w:pPr>
        <w:ind w:left="720" w:hanging="360"/>
      </w:pPr>
    </w:lvl>
    <w:lvl w:ilvl="1" w:tplc="BD56058A">
      <w:start w:val="1"/>
      <w:numFmt w:val="bullet"/>
      <w:lvlText w:val="○"/>
      <w:lvlJc w:val="left"/>
      <w:pPr>
        <w:ind w:left="1440" w:hanging="360"/>
      </w:pPr>
    </w:lvl>
    <w:lvl w:ilvl="2" w:tplc="DE364C58">
      <w:start w:val="1"/>
      <w:numFmt w:val="bullet"/>
      <w:lvlText w:val="■"/>
      <w:lvlJc w:val="left"/>
      <w:pPr>
        <w:ind w:left="2160" w:hanging="360"/>
      </w:pPr>
    </w:lvl>
    <w:lvl w:ilvl="3" w:tplc="5A328EE0">
      <w:start w:val="1"/>
      <w:numFmt w:val="bullet"/>
      <w:lvlText w:val="●"/>
      <w:lvlJc w:val="left"/>
      <w:pPr>
        <w:ind w:left="2880" w:hanging="360"/>
      </w:pPr>
    </w:lvl>
    <w:lvl w:ilvl="4" w:tplc="BB3A2ECA">
      <w:start w:val="1"/>
      <w:numFmt w:val="bullet"/>
      <w:lvlText w:val="○"/>
      <w:lvlJc w:val="left"/>
      <w:pPr>
        <w:ind w:left="3600" w:hanging="360"/>
      </w:pPr>
    </w:lvl>
    <w:lvl w:ilvl="5" w:tplc="8BAA67F6">
      <w:start w:val="1"/>
      <w:numFmt w:val="bullet"/>
      <w:lvlText w:val="■"/>
      <w:lvlJc w:val="left"/>
      <w:pPr>
        <w:ind w:left="4320" w:hanging="360"/>
      </w:pPr>
    </w:lvl>
    <w:lvl w:ilvl="6" w:tplc="9E40A45C">
      <w:start w:val="1"/>
      <w:numFmt w:val="bullet"/>
      <w:lvlText w:val="●"/>
      <w:lvlJc w:val="left"/>
      <w:pPr>
        <w:ind w:left="5040" w:hanging="360"/>
      </w:pPr>
    </w:lvl>
    <w:lvl w:ilvl="7" w:tplc="CAE2E6FC">
      <w:start w:val="1"/>
      <w:numFmt w:val="bullet"/>
      <w:lvlText w:val="●"/>
      <w:lvlJc w:val="left"/>
      <w:pPr>
        <w:ind w:left="5760" w:hanging="360"/>
      </w:pPr>
    </w:lvl>
    <w:lvl w:ilvl="8" w:tplc="F4CE0A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007244"/>
    <w:multiLevelType w:val="hybridMultilevel"/>
    <w:tmpl w:val="DE2A97A2"/>
    <w:lvl w:ilvl="0" w:tplc="C1D4878E">
      <w:start w:val="1"/>
      <w:numFmt w:val="bullet"/>
      <w:lvlText w:val="•"/>
      <w:lvlJc w:val="left"/>
      <w:pPr>
        <w:ind w:left="460" w:hanging="240"/>
      </w:pPr>
      <w:rPr>
        <w:color w:val="C9952A"/>
      </w:rPr>
    </w:lvl>
    <w:lvl w:ilvl="1" w:tplc="F56CC1FA">
      <w:numFmt w:val="decimal"/>
      <w:lvlText w:val=""/>
      <w:lvlJc w:val="left"/>
    </w:lvl>
    <w:lvl w:ilvl="2" w:tplc="0EDA1E96">
      <w:numFmt w:val="decimal"/>
      <w:lvlText w:val=""/>
      <w:lvlJc w:val="left"/>
    </w:lvl>
    <w:lvl w:ilvl="3" w:tplc="D1D69E4C">
      <w:numFmt w:val="decimal"/>
      <w:lvlText w:val=""/>
      <w:lvlJc w:val="left"/>
    </w:lvl>
    <w:lvl w:ilvl="4" w:tplc="60FE64DE">
      <w:numFmt w:val="decimal"/>
      <w:lvlText w:val=""/>
      <w:lvlJc w:val="left"/>
    </w:lvl>
    <w:lvl w:ilvl="5" w:tplc="24289B7C">
      <w:numFmt w:val="decimal"/>
      <w:lvlText w:val=""/>
      <w:lvlJc w:val="left"/>
    </w:lvl>
    <w:lvl w:ilvl="6" w:tplc="6096EE68">
      <w:numFmt w:val="decimal"/>
      <w:lvlText w:val=""/>
      <w:lvlJc w:val="left"/>
    </w:lvl>
    <w:lvl w:ilvl="7" w:tplc="AF7A8614">
      <w:numFmt w:val="decimal"/>
      <w:lvlText w:val=""/>
      <w:lvlJc w:val="left"/>
    </w:lvl>
    <w:lvl w:ilvl="8" w:tplc="2E480BD6">
      <w:numFmt w:val="decimal"/>
      <w:lvlText w:val=""/>
      <w:lvlJc w:val="left"/>
    </w:lvl>
  </w:abstractNum>
  <w:num w:numId="1" w16cid:durableId="293292541">
    <w:abstractNumId w:val="0"/>
    <w:lvlOverride w:ilvl="0">
      <w:startOverride w:val="1"/>
    </w:lvlOverride>
  </w:num>
  <w:num w:numId="2" w16cid:durableId="13984390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3DE"/>
    <w:rsid w:val="00031DA9"/>
    <w:rsid w:val="002308FF"/>
    <w:rsid w:val="00636CF7"/>
    <w:rsid w:val="00705F90"/>
    <w:rsid w:val="00845312"/>
    <w:rsid w:val="00B00ECA"/>
    <w:rsid w:val="00C97E9C"/>
    <w:rsid w:val="00E9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1F89C"/>
  <w15:docId w15:val="{5E821367-EA85-4BD6-9338-CE59E4EB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0272E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A3557"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70"/>
      <w:outlineLvl w:val="1"/>
    </w:pPr>
    <w:rPr>
      <w:b/>
      <w:bCs/>
      <w:color w:val="1A3557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2529</Words>
  <Characters>14421</Characters>
  <Application>Microsoft Office Word</Application>
  <DocSecurity>0</DocSecurity>
  <Lines>120</Lines>
  <Paragraphs>33</Paragraphs>
  <ScaleCrop>false</ScaleCrop>
  <Company/>
  <LinksUpToDate>false</LinksUpToDate>
  <CharactersWithSpaces>16917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PRD-SIM-CAL-001 — The Calibration Layer</dc:title>
  <dc:creator>Jean M. Delphonse</dc:creator>
  <cp:lastModifiedBy>Jean M Delphonse</cp:lastModifiedBy>
  <cp:revision>6</cp:revision>
  <dcterms:created xsi:type="dcterms:W3CDTF">2026-08-17T04:14:00Z</dcterms:created>
  <dcterms:modified xsi:type="dcterms:W3CDTF">2026-08-17T04:47:00Z</dcterms:modified>
</cp:coreProperties>
</file>