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D8C"/>
          <w:spacing w:val="28"/>
          <w:sz w:val="16"/>
          <w:szCs w:val="16"/>
        </w:rPr>
        <w:t xml:space="preserve">SIMULACRUM · PRODUCT REQUIREMENTS DOCUMENT</w:t>
      </w:r>
    </w:p>
    <w:p>
      <w:pPr>
        <w:spacing w:after="16"/>
      </w:pPr>
      <w:r>
        <w:rPr>
          <w:rFonts w:ascii="Calibri" w:cs="Calibri" w:eastAsia="Calibri" w:hAnsi="Calibri"/>
          <w:b/>
          <w:bCs/>
          <w:color w:val="1A3557"/>
          <w:sz w:val="46"/>
          <w:szCs w:val="46"/>
        </w:rPr>
        <w:t xml:space="preserve">Agent Observability &amp; Governance</w:t>
      </w:r>
    </w:p>
    <w:p>
      <w:pPr>
        <w:pBdr>
          <w:bottom w:val="single" w:color="C9952A" w:sz="14" w:space="8"/>
        </w:pBdr>
        <w:spacing w:after="60"/>
      </w:pPr>
      <w:r>
        <w:rPr>
          <w:rFonts w:ascii="Consolas" w:cs="Consolas" w:eastAsia="Consolas" w:hAnsi="Consolas"/>
          <w:b/>
          <w:bCs/>
          <w:color w:val="C9952A"/>
          <w:sz w:val="24"/>
          <w:szCs w:val="24"/>
        </w:rPr>
        <w:t xml:space="preserve">PRD-SIM-OBS-001</w:t>
      </w:r>
    </w:p>
    <w:p>
      <w:pPr>
        <w:spacing w:after="150" w:before="60"/>
      </w:pPr>
      <w:r>
        <w:rPr>
          <w:rFonts w:ascii="Calibri" w:cs="Calibri" w:eastAsia="Calibri" w:hAnsi="Calibri"/>
          <w:i/>
          <w:iCs/>
          <w:color w:val="6B7B8D"/>
          <w:sz w:val="22"/>
          <w:szCs w:val="22"/>
        </w:rPr>
        <w:t xml:space="preserve">An admin-only console to see what the platform's agents actually do — their behavior, the artifacts they generate, and the tools they use — across all users, organized by layer, so administrators can set guardrails and policies for the agents.</w:t>
      </w:r>
    </w:p>
    <w:tbl>
      <w:tblPr>
        <w:tblW w:type="dxa" w:w="9360"/>
        <w:tblBorders>
          <w:top w:val="none"/>
          <w:left w:val="none"/>
          <w:bottom w:val="none"/>
          <w:right w:val="none"/>
          <w:insideH w:val="single" w:color="E1E5EB" w:sz="2"/>
          <w:insideV w:val="none"/>
        </w:tblBorders>
      </w:tblPr>
      <w:tblGrid>
        <w:gridCol w:w="1900"/>
        <w:gridCol w:w="7460"/>
      </w:tblGrid>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Product</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Simulacrum (simulacrumai.io)</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Owner</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Jean M. Delphonse</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Version</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1.1 · Open questions resolved</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Scope</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Admin-only · cross-user, by-layer agent observability that feeds guardrails and policies</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Stack</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Flask · SQLAlchemy · MySQL · Claude API · SSE streaming · GoDaddy cPanel / Passenger WSGI</w:t>
            </w:r>
          </w:p>
        </w:tc>
      </w:tr>
      <w:tr>
        <w:tc>
          <w:tcPr>
            <w:tcW w:type="dxa" w:w="1900"/>
            <w:shd w:fill="F2F4F7" w:val="clear"/>
            <w:tcMar>
              <w:top w:type="dxa" w:w="50"/>
              <w:left w:type="dxa" w:w="120"/>
              <w:bottom w:type="dxa" w:w="50"/>
              <w:right w:type="dxa" w:w="80"/>
            </w:tcMar>
          </w:tcPr>
          <w:p>
            <w:r>
              <w:rPr>
                <w:rFonts w:ascii="Calibri" w:cs="Calibri" w:eastAsia="Calibri" w:hAnsi="Calibri"/>
                <w:b/>
                <w:bCs/>
                <w:color w:val="1A3557"/>
                <w:sz w:val="18"/>
                <w:szCs w:val="18"/>
              </w:rPr>
              <w:t xml:space="preserve">Conventions</w:t>
            </w:r>
          </w:p>
        </w:tc>
        <w:tc>
          <w:tcPr>
            <w:tcW w:type="dxa" w:w="7460"/>
            <w:tcMar>
              <w:top w:type="dxa" w:w="50"/>
              <w:left w:type="dxa" w:w="120"/>
              <w:bottom w:type="dxa" w:w="50"/>
              <w:right w:type="dxa" w:w="80"/>
            </w:tcMar>
          </w:tcPr>
          <w:p>
            <w:r>
              <w:rPr>
                <w:rFonts w:ascii="Calibri" w:cs="Calibri" w:eastAsia="Calibri" w:hAnsi="Calibri"/>
                <w:color w:val="20272E"/>
                <w:sz w:val="18"/>
                <w:szCs w:val="18"/>
              </w:rPr>
              <w:t xml:space="preserve">9-character alphanumeric PKs via generate_pk(); all thresholds admin-configurable (never hardcoded); Midnight Gold theme; no hardcoded price.</w:t>
            </w:r>
          </w:p>
        </w:tc>
      </w:tr>
    </w:tbl>
    <w:p>
      <w:pPr>
        <w:spacing w:after="120"/>
      </w:pPr>
    </w:p>
    <w:p>
      <w:pPr>
        <w:spacing w:after="50" w:before="180"/>
      </w:pPr>
      <w:r>
        <w:rPr>
          <w:rFonts w:ascii="Calibri" w:cs="Calibri" w:eastAsia="Calibri" w:hAnsi="Calibri"/>
          <w:b/>
          <w:bCs/>
          <w:caps/>
          <w:color w:val="2E7D8C"/>
          <w:spacing w:val="24"/>
          <w:sz w:val="16"/>
          <w:szCs w:val="16"/>
        </w:rPr>
        <w:t xml:space="preserve">Contents</w:t>
      </w:r>
    </w:p>
    <w:p>
      <w:pPr>
        <w:tabs>
          <w:tab w:val="right" w:pos="9360"/>
        </w:tabs>
        <w:spacing w:after="24" w:line="276"/>
      </w:pPr>
      <w:r>
        <w:rPr>
          <w:rFonts w:ascii="Calibri" w:cs="Calibri" w:eastAsia="Calibri" w:hAnsi="Calibri"/>
          <w:b/>
          <w:bCs/>
          <w:color w:val="C9952A"/>
          <w:sz w:val="19"/>
          <w:szCs w:val="19"/>
        </w:rPr>
        <w:t xml:space="preserve">1.  </w:t>
      </w:r>
      <w:r>
        <w:rPr>
          <w:rFonts w:ascii="Calibri" w:cs="Calibri" w:eastAsia="Calibri" w:hAnsi="Calibri"/>
          <w:color w:val="1A3557"/>
          <w:sz w:val="19"/>
          <w:szCs w:val="19"/>
        </w:rPr>
        <w:t xml:space="preserve">Summary</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2.  </w:t>
      </w:r>
      <w:r>
        <w:rPr>
          <w:rFonts w:ascii="Calibri" w:cs="Calibri" w:eastAsia="Calibri" w:hAnsi="Calibri"/>
          <w:color w:val="1A3557"/>
          <w:sz w:val="19"/>
          <w:szCs w:val="19"/>
        </w:rPr>
        <w:t xml:space="preserve">Goals &amp; Non-Goals</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3.  </w:t>
      </w:r>
      <w:r>
        <w:rPr>
          <w:rFonts w:ascii="Calibri" w:cs="Calibri" w:eastAsia="Calibri" w:hAnsi="Calibri"/>
          <w:color w:val="1A3557"/>
          <w:sz w:val="19"/>
          <w:szCs w:val="19"/>
        </w:rPr>
        <w:t xml:space="preserve">Users &amp; Access</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4.  </w:t>
      </w:r>
      <w:r>
        <w:rPr>
          <w:rFonts w:ascii="Calibri" w:cs="Calibri" w:eastAsia="Calibri" w:hAnsi="Calibri"/>
          <w:color w:val="1A3557"/>
          <w:sz w:val="19"/>
          <w:szCs w:val="19"/>
        </w:rPr>
        <w:t xml:space="preserve">What We Observe</w:t>
      </w:r>
      <w:r>
        <w:rPr>
          <w:rFonts w:ascii="Calibri" w:cs="Calibri" w:eastAsia="Calibri" w:hAnsi="Calibri"/>
          <w:color w:val="6B7B8D"/>
          <w:sz w:val="19"/>
          <w:szCs w:val="19"/>
        </w:rPr>
        <w:t xml:space="preserve">	2</w:t>
      </w:r>
    </w:p>
    <w:p>
      <w:pPr>
        <w:tabs>
          <w:tab w:val="right" w:pos="9360"/>
        </w:tabs>
        <w:spacing w:after="24" w:line="276"/>
      </w:pPr>
      <w:r>
        <w:rPr>
          <w:rFonts w:ascii="Calibri" w:cs="Calibri" w:eastAsia="Calibri" w:hAnsi="Calibri"/>
          <w:b/>
          <w:bCs/>
          <w:color w:val="C9952A"/>
          <w:sz w:val="19"/>
          <w:szCs w:val="19"/>
        </w:rPr>
        <w:t xml:space="preserve">5.  </w:t>
      </w:r>
      <w:r>
        <w:rPr>
          <w:rFonts w:ascii="Calibri" w:cs="Calibri" w:eastAsia="Calibri" w:hAnsi="Calibri"/>
          <w:color w:val="1A3557"/>
          <w:sz w:val="19"/>
          <w:szCs w:val="19"/>
        </w:rPr>
        <w:t xml:space="preserve">Information Architecture — By Layer</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6.  </w:t>
      </w:r>
      <w:r>
        <w:rPr>
          <w:rFonts w:ascii="Calibri" w:cs="Calibri" w:eastAsia="Calibri" w:hAnsi="Calibri"/>
          <w:color w:val="1A3557"/>
          <w:sz w:val="19"/>
          <w:szCs w:val="19"/>
        </w:rPr>
        <w:t xml:space="preserve">Data Model</w:t>
      </w:r>
      <w:r>
        <w:rPr>
          <w:rFonts w:ascii="Calibri" w:cs="Calibri" w:eastAsia="Calibri" w:hAnsi="Calibri"/>
          <w:color w:val="6B7B8D"/>
          <w:sz w:val="19"/>
          <w:szCs w:val="19"/>
        </w:rPr>
        <w:t xml:space="preserve">	3</w:t>
      </w:r>
    </w:p>
    <w:p>
      <w:pPr>
        <w:tabs>
          <w:tab w:val="right" w:pos="9360"/>
        </w:tabs>
        <w:spacing w:after="24" w:line="276"/>
      </w:pPr>
      <w:r>
        <w:rPr>
          <w:rFonts w:ascii="Calibri" w:cs="Calibri" w:eastAsia="Calibri" w:hAnsi="Calibri"/>
          <w:b/>
          <w:bCs/>
          <w:color w:val="C9952A"/>
          <w:sz w:val="19"/>
          <w:szCs w:val="19"/>
        </w:rPr>
        <w:t xml:space="preserve">7.  </w:t>
      </w:r>
      <w:r>
        <w:rPr>
          <w:rFonts w:ascii="Calibri" w:cs="Calibri" w:eastAsia="Calibri" w:hAnsi="Calibri"/>
          <w:color w:val="1A3557"/>
          <w:sz w:val="19"/>
          <w:szCs w:val="19"/>
        </w:rPr>
        <w:t xml:space="preserve">Capture &amp; Instrumentation</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8.  </w:t>
      </w:r>
      <w:r>
        <w:rPr>
          <w:rFonts w:ascii="Calibri" w:cs="Calibri" w:eastAsia="Calibri" w:hAnsi="Calibri"/>
          <w:color w:val="1A3557"/>
          <w:sz w:val="19"/>
          <w:szCs w:val="19"/>
        </w:rPr>
        <w:t xml:space="preserve">API / Endpoints</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9.  </w:t>
      </w:r>
      <w:r>
        <w:rPr>
          <w:rFonts w:ascii="Calibri" w:cs="Calibri" w:eastAsia="Calibri" w:hAnsi="Calibri"/>
          <w:color w:val="1A3557"/>
          <w:sz w:val="19"/>
          <w:szCs w:val="19"/>
        </w:rPr>
        <w:t xml:space="preserve">From Observability to Guardrails</w:t>
      </w:r>
      <w:r>
        <w:rPr>
          <w:rFonts w:ascii="Calibri" w:cs="Calibri" w:eastAsia="Calibri" w:hAnsi="Calibri"/>
          <w:color w:val="6B7B8D"/>
          <w:sz w:val="19"/>
          <w:szCs w:val="19"/>
        </w:rPr>
        <w:t xml:space="preserve">	4</w:t>
      </w:r>
    </w:p>
    <w:p>
      <w:pPr>
        <w:tabs>
          <w:tab w:val="right" w:pos="9360"/>
        </w:tabs>
        <w:spacing w:after="24" w:line="276"/>
      </w:pPr>
      <w:r>
        <w:rPr>
          <w:rFonts w:ascii="Calibri" w:cs="Calibri" w:eastAsia="Calibri" w:hAnsi="Calibri"/>
          <w:b/>
          <w:bCs/>
          <w:color w:val="C9952A"/>
          <w:sz w:val="19"/>
          <w:szCs w:val="19"/>
        </w:rPr>
        <w:t xml:space="preserve">10.  </w:t>
      </w:r>
      <w:r>
        <w:rPr>
          <w:rFonts w:ascii="Calibri" w:cs="Calibri" w:eastAsia="Calibri" w:hAnsi="Calibri"/>
          <w:color w:val="1A3557"/>
          <w:sz w:val="19"/>
          <w:szCs w:val="19"/>
        </w:rPr>
        <w:t xml:space="preserve">Algorithms to Live By</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11.  </w:t>
      </w:r>
      <w:r>
        <w:rPr>
          <w:rFonts w:ascii="Calibri" w:cs="Calibri" w:eastAsia="Calibri" w:hAnsi="Calibri"/>
          <w:color w:val="1A3557"/>
          <w:sz w:val="19"/>
          <w:szCs w:val="19"/>
        </w:rPr>
        <w:t xml:space="preserve">UI / UX</w:t>
      </w:r>
      <w:r>
        <w:rPr>
          <w:rFonts w:ascii="Calibri" w:cs="Calibri" w:eastAsia="Calibri" w:hAnsi="Calibri"/>
          <w:color w:val="6B7B8D"/>
          <w:sz w:val="19"/>
          <w:szCs w:val="19"/>
        </w:rPr>
        <w:t xml:space="preserve">	5</w:t>
      </w:r>
    </w:p>
    <w:p>
      <w:pPr>
        <w:tabs>
          <w:tab w:val="right" w:pos="9360"/>
        </w:tabs>
        <w:spacing w:after="24" w:line="276"/>
      </w:pPr>
      <w:r>
        <w:rPr>
          <w:rFonts w:ascii="Calibri" w:cs="Calibri" w:eastAsia="Calibri" w:hAnsi="Calibri"/>
          <w:b/>
          <w:bCs/>
          <w:color w:val="C9952A"/>
          <w:sz w:val="19"/>
          <w:szCs w:val="19"/>
        </w:rPr>
        <w:t xml:space="preserve">12.  </w:t>
      </w:r>
      <w:r>
        <w:rPr>
          <w:rFonts w:ascii="Calibri" w:cs="Calibri" w:eastAsia="Calibri" w:hAnsi="Calibri"/>
          <w:color w:val="1A3557"/>
          <w:sz w:val="19"/>
          <w:szCs w:val="19"/>
        </w:rPr>
        <w:t xml:space="preserve">Privacy, Security &amp; Compliance</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13.  </w:t>
      </w:r>
      <w:r>
        <w:rPr>
          <w:rFonts w:ascii="Calibri" w:cs="Calibri" w:eastAsia="Calibri" w:hAnsi="Calibri"/>
          <w:color w:val="1A3557"/>
          <w:sz w:val="19"/>
          <w:szCs w:val="19"/>
        </w:rPr>
        <w:t xml:space="preserve">Rollout / Phasing</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14.  </w:t>
      </w:r>
      <w:r>
        <w:rPr>
          <w:rFonts w:ascii="Calibri" w:cs="Calibri" w:eastAsia="Calibri" w:hAnsi="Calibri"/>
          <w:color w:val="1A3557"/>
          <w:sz w:val="19"/>
          <w:szCs w:val="19"/>
        </w:rPr>
        <w:t xml:space="preserve">Success Metrics</w:t>
      </w:r>
      <w:r>
        <w:rPr>
          <w:rFonts w:ascii="Calibri" w:cs="Calibri" w:eastAsia="Calibri" w:hAnsi="Calibri"/>
          <w:color w:val="6B7B8D"/>
          <w:sz w:val="19"/>
          <w:szCs w:val="19"/>
        </w:rPr>
        <w:t xml:space="preserve">	6</w:t>
      </w:r>
    </w:p>
    <w:p>
      <w:pPr>
        <w:tabs>
          <w:tab w:val="right" w:pos="9360"/>
        </w:tabs>
        <w:spacing w:after="24" w:line="276"/>
      </w:pPr>
      <w:r>
        <w:rPr>
          <w:rFonts w:ascii="Calibri" w:cs="Calibri" w:eastAsia="Calibri" w:hAnsi="Calibri"/>
          <w:b/>
          <w:bCs/>
          <w:color w:val="C9952A"/>
          <w:sz w:val="19"/>
          <w:szCs w:val="19"/>
        </w:rPr>
        <w:t xml:space="preserve">15.  </w:t>
      </w:r>
      <w:r>
        <w:rPr>
          <w:rFonts w:ascii="Calibri" w:cs="Calibri" w:eastAsia="Calibri" w:hAnsi="Calibri"/>
          <w:color w:val="1A3557"/>
          <w:sz w:val="19"/>
          <w:szCs w:val="19"/>
        </w:rPr>
        <w:t xml:space="preserve">Resolved Decisions</w:t>
      </w:r>
      <w:r>
        <w:rPr>
          <w:rFonts w:ascii="Calibri" w:cs="Calibri" w:eastAsia="Calibri" w:hAnsi="Calibri"/>
          <w:color w:val="6B7B8D"/>
          <w:sz w:val="19"/>
          <w:szCs w:val="19"/>
        </w:rPr>
        <w:t xml:space="preserve">	7</w:t>
      </w:r>
    </w:p>
    <w:p>
      <w:r>
        <w:br w:type="page"/>
      </w:r>
    </w:p>
    <w:p>
      <w:pPr>
        <w:pStyle w:val="Heading1"/>
        <w:pBdr>
          <w:bottom w:val="single" w:color="C9952A" w:sz="10" w:space="6"/>
        </w:pBdr>
        <w:spacing w:after="120" w:before="300"/>
      </w:pPr>
      <w:r>
        <w:rPr>
          <w:rFonts w:ascii="Calibri" w:cs="Calibri" w:eastAsia="Calibri" w:hAnsi="Calibri"/>
          <w:b/>
          <w:bCs/>
          <w:color w:val="C9952A"/>
          <w:sz w:val="26"/>
          <w:szCs w:val="26"/>
        </w:rPr>
        <w:t xml:space="preserve">1.  </w:t>
      </w:r>
      <w:r>
        <w:rPr>
          <w:rFonts w:ascii="Calibri" w:cs="Calibri" w:eastAsia="Calibri" w:hAnsi="Calibri"/>
          <w:b/>
          <w:bCs/>
          <w:color w:val="1A3557"/>
          <w:sz w:val="26"/>
          <w:szCs w:val="26"/>
        </w:rPr>
        <w:t xml:space="preserve">Summary</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Agent Observability &amp; Governance Console gives administrators a single, cross-user, by-layer view of what the platform's forty-nine agents actually do: their behavior and decisions, the artifacts they generate, the tools they invoke, the parameters they run on, and the model, tokens, latency and errors behind each run. Its purpose is to turn observed behavior into governance — letting admins spot risky or undesirable patterns and set guardrails and policies (allowed tools, parameter bounds, output and content constraints) that the agents then run under.</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loop it enables: </w:t>
      </w:r>
      <w:r>
        <w:rPr>
          <w:rFonts w:ascii="Calibri" w:cs="Calibri" w:eastAsia="Calibri" w:hAnsi="Calibri"/>
          <w:b/>
          <w:bCs/>
          <w:i w:val="false"/>
          <w:iCs w:val="false"/>
          <w:caps w:val="false"/>
          <w:color w:val="1A3557"/>
          <w:sz w:val="21"/>
          <w:szCs w:val="21"/>
        </w:rPr>
        <w:t xml:space="preserve">observe → identify a pattern → author a guardrail → enforce it → observe the effect.</w:t>
      </w:r>
    </w:p>
    <w:p>
      <w:pPr>
        <w:pStyle w:val="Heading1"/>
        <w:pBdr>
          <w:bottom w:val="single" w:color="C9952A" w:sz="10" w:space="6"/>
        </w:pBdr>
        <w:spacing w:after="120" w:before="300"/>
      </w:pPr>
      <w:r>
        <w:rPr>
          <w:rFonts w:ascii="Calibri" w:cs="Calibri" w:eastAsia="Calibri" w:hAnsi="Calibri"/>
          <w:b/>
          <w:bCs/>
          <w:color w:val="C9952A"/>
          <w:sz w:val="26"/>
          <w:szCs w:val="26"/>
        </w:rPr>
        <w:t xml:space="preserve">2.  </w:t>
      </w:r>
      <w:r>
        <w:rPr>
          <w:rFonts w:ascii="Calibri" w:cs="Calibri" w:eastAsia="Calibri" w:hAnsi="Calibri"/>
          <w:b/>
          <w:bCs/>
          <w:color w:val="1A3557"/>
          <w:sz w:val="26"/>
          <w:szCs w:val="26"/>
        </w:rPr>
        <w:t xml:space="preserve">Goals &amp; Non-Goals</w:t>
      </w:r>
    </w:p>
    <w:p>
      <w:pPr>
        <w:spacing w:after="50" w:before="180"/>
      </w:pPr>
      <w:r>
        <w:rPr>
          <w:rFonts w:ascii="Calibri" w:cs="Calibri" w:eastAsia="Calibri" w:hAnsi="Calibri"/>
          <w:b/>
          <w:bCs/>
          <w:caps/>
          <w:color w:val="2E7D8C"/>
          <w:spacing w:val="24"/>
          <w:sz w:val="16"/>
          <w:szCs w:val="16"/>
        </w:rPr>
        <w:t xml:space="preserve">Goals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G1. </w:t>
      </w:r>
      <w:r>
        <w:rPr>
          <w:rFonts w:ascii="Calibri" w:cs="Calibri" w:eastAsia="Calibri" w:hAnsi="Calibri"/>
          <w:b w:val="false"/>
          <w:bCs w:val="false"/>
          <w:i w:val="false"/>
          <w:iCs w:val="false"/>
          <w:caps w:val="false"/>
          <w:color w:val="20272E"/>
          <w:sz w:val="21"/>
          <w:szCs w:val="21"/>
        </w:rPr>
        <w:t xml:space="preserve">Capture a complete, structured record of every agent run across all users, tagged by layer.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G2. </w:t>
      </w:r>
      <w:r>
        <w:rPr>
          <w:rFonts w:ascii="Calibri" w:cs="Calibri" w:eastAsia="Calibri" w:hAnsi="Calibri"/>
          <w:b w:val="false"/>
          <w:bCs w:val="false"/>
          <w:i w:val="false"/>
          <w:iCs w:val="false"/>
          <w:caps w:val="false"/>
          <w:color w:val="20272E"/>
          <w:sz w:val="21"/>
          <w:szCs w:val="21"/>
        </w:rPr>
        <w:t xml:space="preserve">Let admins view agent behavior, generated artifacts, and tools used — filtered by layer, agent, user, status and time.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G3. </w:t>
      </w:r>
      <w:r>
        <w:rPr>
          <w:rFonts w:ascii="Calibri" w:cs="Calibri" w:eastAsia="Calibri" w:hAnsi="Calibri"/>
          <w:b w:val="false"/>
          <w:bCs w:val="false"/>
          <w:i w:val="false"/>
          <w:iCs w:val="false"/>
          <w:caps w:val="false"/>
          <w:color w:val="20272E"/>
          <w:sz w:val="21"/>
          <w:szCs w:val="21"/>
        </w:rPr>
        <w:t xml:space="preserve">Surface aggregate patterns per layer and per agent: tool-use frequency, artifact types, error and flag rates, token spend.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G4. </w:t>
      </w:r>
      <w:r>
        <w:rPr>
          <w:rFonts w:ascii="Calibri" w:cs="Calibri" w:eastAsia="Calibri" w:hAnsi="Calibri"/>
          <w:b w:val="false"/>
          <w:bCs w:val="false"/>
          <w:i w:val="false"/>
          <w:iCs w:val="false"/>
          <w:caps w:val="false"/>
          <w:color w:val="20272E"/>
          <w:sz w:val="21"/>
          <w:szCs w:val="21"/>
        </w:rPr>
        <w:t xml:space="preserve">Let admins define guardrails and policies from what they observe, scoped by layer or agent, and measure their effect.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G5. </w:t>
      </w:r>
      <w:r>
        <w:rPr>
          <w:rFonts w:ascii="Calibri" w:cs="Calibri" w:eastAsia="Calibri" w:hAnsi="Calibri"/>
          <w:b w:val="false"/>
          <w:bCs w:val="false"/>
          <w:i w:val="false"/>
          <w:iCs w:val="false"/>
          <w:caps w:val="false"/>
          <w:color w:val="20272E"/>
          <w:sz w:val="21"/>
          <w:szCs w:val="21"/>
        </w:rPr>
        <w:t xml:space="preserve">Keep it admin-only, fully audited, and privacy-safe given the cross-user visibility.</w:t>
      </w:r>
    </w:p>
    <w:p>
      <w:pPr>
        <w:spacing w:after="50" w:before="180"/>
      </w:pPr>
      <w:r>
        <w:rPr>
          <w:rFonts w:ascii="Calibri" w:cs="Calibri" w:eastAsia="Calibri" w:hAnsi="Calibri"/>
          <w:b/>
          <w:bCs/>
          <w:caps/>
          <w:color w:val="2E7D8C"/>
          <w:spacing w:val="24"/>
          <w:sz w:val="16"/>
          <w:szCs w:val="16"/>
        </w:rPr>
        <w:t xml:space="preserve">Non-Goals (v1)</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N1. </w:t>
      </w:r>
      <w:r>
        <w:rPr>
          <w:rFonts w:ascii="Calibri" w:cs="Calibri" w:eastAsia="Calibri" w:hAnsi="Calibri"/>
          <w:b w:val="false"/>
          <w:bCs w:val="false"/>
          <w:i w:val="false"/>
          <w:iCs w:val="false"/>
          <w:caps w:val="false"/>
          <w:color w:val="20272E"/>
          <w:sz w:val="21"/>
          <w:szCs w:val="21"/>
        </w:rPr>
        <w:t xml:space="preserve">Not an end-user feature — nothing here is user-facing.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N2. </w:t>
      </w:r>
      <w:r>
        <w:rPr>
          <w:rFonts w:ascii="Calibri" w:cs="Calibri" w:eastAsia="Calibri" w:hAnsi="Calibri"/>
          <w:b w:val="false"/>
          <w:bCs w:val="false"/>
          <w:i w:val="false"/>
          <w:iCs w:val="false"/>
          <w:caps w:val="false"/>
          <w:color w:val="20272E"/>
          <w:sz w:val="21"/>
          <w:szCs w:val="21"/>
        </w:rPr>
        <w:t xml:space="preserve">Does not replace the agent runtime; it instruments and governs it.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N3. </w:t>
      </w:r>
      <w:r>
        <w:rPr>
          <w:rFonts w:ascii="Calibri" w:cs="Calibri" w:eastAsia="Calibri" w:hAnsi="Calibri"/>
          <w:b w:val="false"/>
          <w:bCs w:val="false"/>
          <w:i w:val="false"/>
          <w:iCs w:val="false"/>
          <w:caps w:val="false"/>
          <w:color w:val="20272E"/>
          <w:sz w:val="21"/>
          <w:szCs w:val="21"/>
        </w:rPr>
        <w:t xml:space="preserve">Not a general business-intelligence tool; scope is agent behavior and governance.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N4. </w:t>
      </w:r>
      <w:r>
        <w:rPr>
          <w:rFonts w:ascii="Calibri" w:cs="Calibri" w:eastAsia="Calibri" w:hAnsi="Calibri"/>
          <w:b w:val="false"/>
          <w:bCs w:val="false"/>
          <w:i w:val="false"/>
          <w:iCs w:val="false"/>
          <w:caps w:val="false"/>
          <w:color w:val="20272E"/>
          <w:sz w:val="21"/>
          <w:szCs w:val="21"/>
        </w:rPr>
        <w:t xml:space="preserve">No AI-authored guardrails in v1 — the admin authors them; the console assists.</w:t>
      </w:r>
    </w:p>
    <w:p>
      <w:pPr>
        <w:pStyle w:val="Heading1"/>
        <w:pBdr>
          <w:bottom w:val="single" w:color="C9952A" w:sz="10" w:space="6"/>
        </w:pBdr>
        <w:spacing w:after="120" w:before="300"/>
      </w:pPr>
      <w:r>
        <w:rPr>
          <w:rFonts w:ascii="Calibri" w:cs="Calibri" w:eastAsia="Calibri" w:hAnsi="Calibri"/>
          <w:b/>
          <w:bCs/>
          <w:color w:val="C9952A"/>
          <w:sz w:val="26"/>
          <w:szCs w:val="26"/>
        </w:rPr>
        <w:t xml:space="preserve">3.  </w:t>
      </w:r>
      <w:r>
        <w:rPr>
          <w:rFonts w:ascii="Calibri" w:cs="Calibri" w:eastAsia="Calibri" w:hAnsi="Calibri"/>
          <w:b/>
          <w:bCs/>
          <w:color w:val="1A3557"/>
          <w:sz w:val="26"/>
          <w:szCs w:val="26"/>
        </w:rPr>
        <w:t xml:space="preserve">Users &amp; Access</w:t>
      </w:r>
    </w:p>
    <w:tbl>
      <w:tblPr>
        <w:tblW w:type="dxa" w:w="9360"/>
        <w:tblBorders>
          <w:top w:val="single" w:color="C9CFD8" w:sz="2"/>
          <w:left w:val="none"/>
          <w:bottom w:val="single" w:color="C9CFD8" w:sz="2"/>
          <w:right w:val="none"/>
          <w:insideH w:val="single" w:color="E1E5EB" w:sz="2"/>
          <w:insideV w:val="single" w:color="E1E5EB" w:sz="2"/>
        </w:tblBorders>
      </w:tblPr>
      <w:tblGrid>
        <w:gridCol w:w="3200"/>
        <w:gridCol w:w="2260"/>
        <w:gridCol w:w="2000"/>
        <w:gridCol w:w="1900"/>
      </w:tblGrid>
      <w:tr>
        <w:trPr>
          <w:tblHeader/>
        </w:trPr>
        <w:tc>
          <w:tcPr>
            <w:tcW w:type="dxa" w:w="32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Role</w:t>
            </w:r>
          </w:p>
        </w:tc>
        <w:tc>
          <w:tcPr>
            <w:tcW w:type="dxa" w:w="22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Can view telemetry</w:t>
            </w:r>
          </w:p>
        </w:tc>
        <w:tc>
          <w:tcPr>
            <w:tcW w:type="dxa" w:w="20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Can author guardrails</w:t>
            </w:r>
          </w:p>
        </w:tc>
        <w:tc>
          <w:tcPr>
            <w:tcW w:type="dxa" w:w="19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Can enforce (block)</w:t>
            </w:r>
          </w:p>
        </w:tc>
      </w:tr>
      <w:tr>
        <w:tc>
          <w:tcPr>
            <w:tcW w:type="dxa" w:w="32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Platform Admin</w:t>
            </w:r>
          </w:p>
        </w:tc>
        <w:tc>
          <w:tcPr>
            <w:tcW w:type="dxa" w:w="22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 (all users)</w:t>
            </w:r>
          </w:p>
        </w:tc>
        <w:tc>
          <w:tcPr>
            <w:tcW w:type="dxa" w:w="20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c>
          <w:tcPr>
            <w:tcW w:type="dxa" w:w="19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Yes</w:t>
            </w:r>
          </w:p>
        </w:tc>
      </w:tr>
      <w:tr>
        <w:tc>
          <w:tcPr>
            <w:tcW w:type="dxa" w:w="32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End user</w:t>
            </w:r>
          </w:p>
        </w:tc>
        <w:tc>
          <w:tcPr>
            <w:tcW w:type="dxa" w:w="22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c>
          <w:tcPr>
            <w:tcW w:type="dxa" w:w="20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c>
          <w:tcPr>
            <w:tcW w:type="dxa" w:w="19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w:t>
            </w:r>
          </w:p>
        </w:tc>
      </w:tr>
    </w:tbl>
    <w:p>
      <w:pPr>
        <w:spacing w:after="80"/>
      </w:pPr>
    </w:p>
    <w:p>
      <w:pPr>
        <w:spacing w:after="130" w:before="0" w:line="264"/>
        <w:jc w:val="both"/>
      </w:pPr>
      <w:r>
        <w:rPr>
          <w:rFonts w:ascii="Calibri" w:cs="Calibri" w:eastAsia="Calibri" w:hAnsi="Calibri"/>
          <w:b w:val="false"/>
          <w:bCs w:val="false"/>
          <w:i w:val="false"/>
          <w:iCs w:val="false"/>
          <w:caps w:val="false"/>
          <w:color w:val="20272E"/>
          <w:sz w:val="21"/>
          <w:szCs w:val="21"/>
        </w:rPr>
        <w:t xml:space="preserve">v1 is </w:t>
      </w:r>
      <w:r>
        <w:rPr>
          <w:rFonts w:ascii="Calibri" w:cs="Calibri" w:eastAsia="Calibri" w:hAnsi="Calibri"/>
          <w:b/>
          <w:bCs/>
          <w:i w:val="false"/>
          <w:iCs w:val="false"/>
          <w:caps w:val="false"/>
          <w:color w:val="1A3557"/>
          <w:sz w:val="21"/>
          <w:szCs w:val="21"/>
        </w:rPr>
        <w:t xml:space="preserve">admin-only</w:t>
      </w:r>
      <w:r>
        <w:rPr>
          <w:rFonts w:ascii="Calibri" w:cs="Calibri" w:eastAsia="Calibri" w:hAnsi="Calibri"/>
          <w:b w:val="false"/>
          <w:bCs w:val="false"/>
          <w:i w:val="false"/>
          <w:iCs w:val="false"/>
          <w:caps w:val="false"/>
          <w:color w:val="20272E"/>
          <w:sz w:val="21"/>
          <w:szCs w:val="21"/>
        </w:rPr>
        <w:t xml:space="preserve">. A read-only Reviewer role is a planned additive tier once the access model is proven, and is out of scope for v1. The entire surface is gated by role-based access control; because it exposes every user's agent activity, </w:t>
      </w:r>
      <w:r>
        <w:rPr>
          <w:rFonts w:ascii="Calibri" w:cs="Calibri" w:eastAsia="Calibri" w:hAnsi="Calibri"/>
          <w:b/>
          <w:bCs/>
          <w:i w:val="false"/>
          <w:iCs w:val="false"/>
          <w:caps w:val="false"/>
          <w:color w:val="1A3557"/>
          <w:sz w:val="21"/>
          <w:szCs w:val="21"/>
        </w:rPr>
        <w:t xml:space="preserve">every view or export of a user's run or artifact is written to an access-audit log (§12) — the admins are themselves observed.</w:t>
      </w:r>
    </w:p>
    <w:p>
      <w:pPr>
        <w:pStyle w:val="Heading1"/>
        <w:pBdr>
          <w:bottom w:val="single" w:color="C9952A" w:sz="10" w:space="6"/>
        </w:pBdr>
        <w:spacing w:after="120" w:before="300"/>
      </w:pPr>
      <w:r>
        <w:rPr>
          <w:rFonts w:ascii="Calibri" w:cs="Calibri" w:eastAsia="Calibri" w:hAnsi="Calibri"/>
          <w:b/>
          <w:bCs/>
          <w:color w:val="C9952A"/>
          <w:sz w:val="26"/>
          <w:szCs w:val="26"/>
        </w:rPr>
        <w:t xml:space="preserve">4.  </w:t>
      </w:r>
      <w:r>
        <w:rPr>
          <w:rFonts w:ascii="Calibri" w:cs="Calibri" w:eastAsia="Calibri" w:hAnsi="Calibri"/>
          <w:b/>
          <w:bCs/>
          <w:color w:val="1A3557"/>
          <w:sz w:val="26"/>
          <w:szCs w:val="26"/>
        </w:rPr>
        <w:t xml:space="preserve">What We Observe</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For every agent run, the platform captures a structured record with five parts: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Identity. </w:t>
      </w:r>
      <w:r>
        <w:rPr>
          <w:rFonts w:ascii="Calibri" w:cs="Calibri" w:eastAsia="Calibri" w:hAnsi="Calibri"/>
          <w:b w:val="false"/>
          <w:bCs w:val="false"/>
          <w:i w:val="false"/>
          <w:iCs w:val="false"/>
          <w:caps w:val="false"/>
          <w:color w:val="20272E"/>
          <w:sz w:val="21"/>
          <w:szCs w:val="21"/>
        </w:rPr>
        <w:t xml:space="preserve">user, simulation, agent_key, and layer (L1–L5, plus L6 orchestration).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Inputs. </w:t>
      </w:r>
      <w:r>
        <w:rPr>
          <w:rFonts w:ascii="Calibri" w:cs="Calibri" w:eastAsia="Calibri" w:hAnsi="Calibri"/>
          <w:b w:val="false"/>
          <w:bCs w:val="false"/>
          <w:i w:val="false"/>
          <w:iCs w:val="false"/>
          <w:caps w:val="false"/>
          <w:color w:val="20272E"/>
          <w:sz w:val="21"/>
          <w:szCs w:val="21"/>
        </w:rPr>
        <w:t xml:space="preserve">the parameters the agent ran on — the same fields the Layer Actions form sets.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Behavior. </w:t>
      </w:r>
      <w:r>
        <w:rPr>
          <w:rFonts w:ascii="Calibri" w:cs="Calibri" w:eastAsia="Calibri" w:hAnsi="Calibri"/>
          <w:b w:val="false"/>
          <w:bCs w:val="false"/>
          <w:i w:val="false"/>
          <w:iCs w:val="false"/>
          <w:caps w:val="false"/>
          <w:color w:val="20272E"/>
          <w:sz w:val="21"/>
          <w:szCs w:val="21"/>
        </w:rPr>
        <w:t xml:space="preserve">the ordered decision/step trace — what the agent did and why, step by step.</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Tools used. </w:t>
      </w:r>
      <w:r>
        <w:rPr>
          <w:rFonts w:ascii="Calibri" w:cs="Calibri" w:eastAsia="Calibri" w:hAnsi="Calibri"/>
          <w:b w:val="false"/>
          <w:bCs w:val="false"/>
          <w:i w:val="false"/>
          <w:iCs w:val="false"/>
          <w:caps w:val="false"/>
          <w:color w:val="20272E"/>
          <w:sz w:val="21"/>
          <w:szCs w:val="21"/>
        </w:rPr>
        <w:t xml:space="preserve">each tool call in order: the tool, an input summary, an output summary, duration and status.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Artifacts. </w:t>
      </w:r>
      <w:r>
        <w:rPr>
          <w:rFonts w:ascii="Calibri" w:cs="Calibri" w:eastAsia="Calibri" w:hAnsi="Calibri"/>
          <w:b w:val="false"/>
          <w:bCs w:val="false"/>
          <w:i w:val="false"/>
          <w:iCs w:val="false"/>
          <w:caps w:val="false"/>
          <w:color w:val="20272E"/>
          <w:sz w:val="21"/>
          <w:szCs w:val="21"/>
        </w:rPr>
        <w:t xml:space="preserve">each deliverable produced — its type (rate card, proposal, course outline, email, allocation plan…) and content reference.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Execution. </w:t>
      </w:r>
      <w:r>
        <w:rPr>
          <w:rFonts w:ascii="Calibri" w:cs="Calibri" w:eastAsia="Calibri" w:hAnsi="Calibri"/>
          <w:b w:val="false"/>
          <w:bCs w:val="false"/>
          <w:i w:val="false"/>
          <w:iCs w:val="false"/>
          <w:caps w:val="false"/>
          <w:color w:val="20272E"/>
          <w:sz w:val="21"/>
          <w:szCs w:val="21"/>
        </w:rPr>
        <w:t xml:space="preserve">model, prompt/completion tokens, latency, status (success / error / blocked), and any error code.</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This record is the shared raw material for both the viewing console and the governance engine.</w:t>
      </w:r>
    </w:p>
    <w:p>
      <w:pPr>
        <w:pStyle w:val="Heading1"/>
        <w:pBdr>
          <w:bottom w:val="single" w:color="C9952A" w:sz="10" w:space="6"/>
        </w:pBdr>
        <w:spacing w:after="120" w:before="300"/>
      </w:pPr>
      <w:r>
        <w:rPr>
          <w:rFonts w:ascii="Calibri" w:cs="Calibri" w:eastAsia="Calibri" w:hAnsi="Calibri"/>
          <w:b/>
          <w:bCs/>
          <w:color w:val="C9952A"/>
          <w:sz w:val="26"/>
          <w:szCs w:val="26"/>
        </w:rPr>
        <w:t xml:space="preserve">5.  </w:t>
      </w:r>
      <w:r>
        <w:rPr>
          <w:rFonts w:ascii="Calibri" w:cs="Calibri" w:eastAsia="Calibri" w:hAnsi="Calibri"/>
          <w:b/>
          <w:bCs/>
          <w:color w:val="1A3557"/>
          <w:sz w:val="26"/>
          <w:szCs w:val="26"/>
        </w:rPr>
        <w:t xml:space="preserve">Information Architecture — By Layer</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console is organized by layer first, drilling down to a single run: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Layer overview. </w:t>
      </w:r>
      <w:r>
        <w:rPr>
          <w:rFonts w:ascii="Calibri" w:cs="Calibri" w:eastAsia="Calibri" w:hAnsi="Calibri"/>
          <w:b w:val="false"/>
          <w:bCs w:val="false"/>
          <w:i w:val="false"/>
          <w:iCs w:val="false"/>
          <w:caps w:val="false"/>
          <w:color w:val="20272E"/>
          <w:sz w:val="21"/>
          <w:szCs w:val="21"/>
        </w:rPr>
        <w:t xml:space="preserve">the five layers plus Orchestration, each a card with run volume, error rate, flag rate, top tools, top artifact types, and token spend.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Layer → Agents. </w:t>
      </w:r>
      <w:r>
        <w:rPr>
          <w:rFonts w:ascii="Calibri" w:cs="Calibri" w:eastAsia="Calibri" w:hAnsi="Calibri"/>
          <w:b w:val="false"/>
          <w:bCs w:val="false"/>
          <w:i w:val="false"/>
          <w:iCs w:val="false"/>
          <w:caps w:val="false"/>
          <w:color w:val="20272E"/>
          <w:sz w:val="21"/>
          <w:szCs w:val="21"/>
        </w:rPr>
        <w:t xml:space="preserve">drill into a layer to see its agents with the same rollups.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Agent → Runs. </w:t>
      </w:r>
      <w:r>
        <w:rPr>
          <w:rFonts w:ascii="Calibri" w:cs="Calibri" w:eastAsia="Calibri" w:hAnsi="Calibri"/>
          <w:b w:val="false"/>
          <w:bCs w:val="false"/>
          <w:i w:val="false"/>
          <w:iCs w:val="false"/>
          <w:caps w:val="false"/>
          <w:color w:val="20272E"/>
          <w:sz w:val="21"/>
          <w:szCs w:val="21"/>
        </w:rPr>
        <w:t xml:space="preserve">drill into an agent to see its runs across all users.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Run detail. </w:t>
      </w:r>
      <w:r>
        <w:rPr>
          <w:rFonts w:ascii="Calibri" w:cs="Calibri" w:eastAsia="Calibri" w:hAnsi="Calibri"/>
          <w:b w:val="false"/>
          <w:bCs w:val="false"/>
          <w:i w:val="false"/>
          <w:iCs w:val="false"/>
          <w:caps w:val="false"/>
          <w:color w:val="20272E"/>
          <w:sz w:val="21"/>
          <w:szCs w:val="21"/>
        </w:rPr>
        <w:t xml:space="preserve">the full record — behavior trace, tool trace, artifacts, parameters, execution.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Flags view. </w:t>
      </w:r>
      <w:r>
        <w:rPr>
          <w:rFonts w:ascii="Calibri" w:cs="Calibri" w:eastAsia="Calibri" w:hAnsi="Calibri"/>
          <w:b w:val="false"/>
          <w:bCs w:val="false"/>
          <w:i w:val="false"/>
          <w:iCs w:val="false"/>
          <w:caps w:val="false"/>
          <w:color w:val="20272E"/>
          <w:sz w:val="21"/>
          <w:szCs w:val="21"/>
        </w:rPr>
        <w:t xml:space="preserve">a cross-cutting list of everything a guardrail flagged, newest first.</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Global filters apply everywhere: </w:t>
      </w:r>
      <w:r>
        <w:rPr>
          <w:rFonts w:ascii="Calibri" w:cs="Calibri" w:eastAsia="Calibri" w:hAnsi="Calibri"/>
          <w:b w:val="false"/>
          <w:bCs w:val="false"/>
          <w:i/>
          <w:iCs/>
          <w:caps w:val="false"/>
          <w:color w:val="20272E"/>
          <w:sz w:val="21"/>
          <w:szCs w:val="21"/>
        </w:rPr>
        <w:t xml:space="preserve">layer, agent, user, status (success / error / blocked / flagged), time range, and model.</w:t>
      </w:r>
    </w:p>
    <w:p>
      <w:pPr>
        <w:pStyle w:val="Heading1"/>
        <w:pBdr>
          <w:bottom w:val="single" w:color="C9952A" w:sz="10" w:space="6"/>
        </w:pBdr>
        <w:spacing w:after="120" w:before="300"/>
      </w:pPr>
      <w:r>
        <w:rPr>
          <w:rFonts w:ascii="Calibri" w:cs="Calibri" w:eastAsia="Calibri" w:hAnsi="Calibri"/>
          <w:b/>
          <w:bCs/>
          <w:color w:val="C9952A"/>
          <w:sz w:val="26"/>
          <w:szCs w:val="26"/>
        </w:rPr>
        <w:t xml:space="preserve">6.  </w:t>
      </w:r>
      <w:r>
        <w:rPr>
          <w:rFonts w:ascii="Calibri" w:cs="Calibri" w:eastAsia="Calibri" w:hAnsi="Calibri"/>
          <w:b/>
          <w:bCs/>
          <w:color w:val="1A3557"/>
          <w:sz w:val="26"/>
          <w:szCs w:val="26"/>
        </w:rPr>
        <w:t xml:space="preserve">Data Model</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Telemetry lives in a </w:t>
      </w:r>
      <w:r>
        <w:rPr>
          <w:rFonts w:ascii="Calibri" w:cs="Calibri" w:eastAsia="Calibri" w:hAnsi="Calibri"/>
          <w:b/>
          <w:bCs/>
          <w:i w:val="false"/>
          <w:iCs w:val="false"/>
          <w:caps w:val="false"/>
          <w:color w:val="1A3557"/>
          <w:sz w:val="21"/>
          <w:szCs w:val="21"/>
        </w:rPr>
        <w:t xml:space="preserve">single shared store</w:t>
      </w:r>
      <w:r>
        <w:rPr>
          <w:rFonts w:ascii="Calibri" w:cs="Calibri" w:eastAsia="Calibri" w:hAnsi="Calibri"/>
          <w:b w:val="false"/>
          <w:bCs w:val="false"/>
          <w:i w:val="false"/>
          <w:iCs w:val="false"/>
          <w:caps w:val="false"/>
          <w:color w:val="20272E"/>
          <w:sz w:val="21"/>
          <w:szCs w:val="21"/>
        </w:rPr>
        <w:t xml:space="preserve">: one </w:t>
      </w:r>
      <w:r>
        <w:rPr>
          <w:rFonts w:ascii="Consolas" w:cs="Consolas" w:eastAsia="Consolas" w:hAnsi="Consolas"/>
          <w:b w:val="false"/>
          <w:bCs w:val="false"/>
          <w:i w:val="false"/>
          <w:iCs w:val="false"/>
          <w:caps w:val="false"/>
          <w:color w:val="20272E"/>
          <w:sz w:val="19"/>
          <w:szCs w:val="19"/>
        </w:rPr>
        <w:t xml:space="preserve">agent_runs</w:t>
      </w:r>
      <w:r>
        <w:rPr>
          <w:rFonts w:ascii="Calibri" w:cs="Calibri" w:eastAsia="Calibri" w:hAnsi="Calibri"/>
          <w:b w:val="false"/>
          <w:bCs w:val="false"/>
          <w:i w:val="false"/>
          <w:iCs w:val="false"/>
          <w:caps w:val="false"/>
          <w:color w:val="20272E"/>
          <w:sz w:val="21"/>
          <w:szCs w:val="21"/>
        </w:rPr>
        <w:t xml:space="preserve"> record is the source of truth that calibration, the World view, and this console all read. To keep that safe, the record is split into a light </w:t>
      </w:r>
      <w:r>
        <w:rPr>
          <w:rFonts w:ascii="Calibri" w:cs="Calibri" w:eastAsia="Calibri" w:hAnsi="Calibri"/>
          <w:b/>
          <w:bCs/>
          <w:i w:val="false"/>
          <w:iCs w:val="false"/>
          <w:caps w:val="false"/>
          <w:color w:val="20272E"/>
          <w:sz w:val="21"/>
          <w:szCs w:val="21"/>
        </w:rPr>
        <w:t xml:space="preserve">header</w:t>
      </w:r>
      <w:r>
        <w:rPr>
          <w:rFonts w:ascii="Calibri" w:cs="Calibri" w:eastAsia="Calibri" w:hAnsi="Calibri"/>
          <w:b w:val="false"/>
          <w:bCs w:val="false"/>
          <w:i w:val="false"/>
          <w:iCs w:val="false"/>
          <w:caps w:val="false"/>
          <w:color w:val="20272E"/>
          <w:sz w:val="21"/>
          <w:szCs w:val="21"/>
        </w:rPr>
        <w:t xml:space="preserve"> retained on the product lifecycle and a heavier, sensitive </w:t>
      </w:r>
      <w:r>
        <w:rPr>
          <w:rFonts w:ascii="Calibri" w:cs="Calibri" w:eastAsia="Calibri" w:hAnsi="Calibri"/>
          <w:b/>
          <w:bCs/>
          <w:i w:val="false"/>
          <w:iCs w:val="false"/>
          <w:caps w:val="false"/>
          <w:color w:val="20272E"/>
          <w:sz w:val="21"/>
          <w:szCs w:val="21"/>
        </w:rPr>
        <w:t xml:space="preserve">detail</w:t>
      </w:r>
      <w:r>
        <w:rPr>
          <w:rFonts w:ascii="Calibri" w:cs="Calibri" w:eastAsia="Calibri" w:hAnsi="Calibri"/>
          <w:b w:val="false"/>
          <w:bCs w:val="false"/>
          <w:i w:val="false"/>
          <w:iCs w:val="false"/>
          <w:caps w:val="false"/>
          <w:color w:val="20272E"/>
          <w:sz w:val="21"/>
          <w:szCs w:val="21"/>
        </w:rPr>
        <w:t xml:space="preserve"> payload retained on a shorter, independently-purgeable window (§12). All PKs are CHAR(9) via generate_pk(); aggregates are materialized and cached (§10).</w:t>
      </w:r>
    </w:p>
    <w:p>
      <w:pPr>
        <w:spacing w:after="50" w:before="180"/>
      </w:pPr>
      <w:r>
        <w:rPr>
          <w:rFonts w:ascii="Calibri" w:cs="Calibri" w:eastAsia="Calibri" w:hAnsi="Calibri"/>
          <w:b/>
          <w:bCs/>
          <w:caps/>
          <w:color w:val="2E7D8C"/>
          <w:spacing w:val="24"/>
          <w:sz w:val="16"/>
          <w:szCs w:val="16"/>
        </w:rPr>
        <w:t xml:space="preserve">Shared run header — retained on the product lifecycle</w:t>
      </w:r>
    </w:p>
    <w:p>
      <w:pPr>
        <w:spacing w:after="20" w:before="100"/>
      </w:pPr>
      <w:r>
        <w:rPr>
          <w:rFonts w:ascii="Consolas" w:cs="Consolas" w:eastAsia="Consolas" w:hAnsi="Consolas"/>
          <w:b/>
          <w:bCs/>
          <w:color w:val="0D1B3E"/>
          <w:sz w:val="19"/>
          <w:szCs w:val="19"/>
        </w:rPr>
        <w:t xml:space="preserve">agent_runs  (header · shared with calibration &amp; the World)</w:t>
      </w:r>
    </w:p>
    <w:p>
      <w:pPr>
        <w:spacing w:after="80" w:line="250"/>
        <w:ind w:left="200"/>
      </w:pPr>
      <w:r>
        <w:rPr>
          <w:rFonts w:ascii="Consolas" w:cs="Consolas" w:eastAsia="Consolas" w:hAnsi="Consolas"/>
          <w:color w:val="3A4250"/>
          <w:sz w:val="16"/>
          <w:szCs w:val="16"/>
        </w:rPr>
        <w:t xml:space="preserve">run_id (PK) · user_id (FK) · simulation_id (FK) · agent_key · layer · status (success/error/blocked) · model · prompt_tokens · completion_tokens · latency_ms · params_json · projected_value · error_code · started_at · finished_at</w:t>
      </w:r>
    </w:p>
    <w:p>
      <w:pPr>
        <w:spacing w:after="50" w:before="180"/>
      </w:pPr>
      <w:r>
        <w:rPr>
          <w:rFonts w:ascii="Calibri" w:cs="Calibri" w:eastAsia="Calibri" w:hAnsi="Calibri"/>
          <w:b/>
          <w:bCs/>
          <w:caps/>
          <w:color w:val="2E7D8C"/>
          <w:spacing w:val="24"/>
          <w:sz w:val="16"/>
          <w:szCs w:val="16"/>
        </w:rPr>
        <w:t xml:space="preserve">Run detail — separately retained (30 days), independently redactable</w:t>
      </w:r>
    </w:p>
    <w:p>
      <w:pPr>
        <w:spacing w:after="20" w:before="100"/>
      </w:pPr>
      <w:r>
        <w:rPr>
          <w:rFonts w:ascii="Consolas" w:cs="Consolas" w:eastAsia="Consolas" w:hAnsi="Consolas"/>
          <w:b/>
          <w:bCs/>
          <w:color w:val="0D1B3E"/>
          <w:sz w:val="19"/>
          <w:szCs w:val="19"/>
        </w:rPr>
        <w:t xml:space="preserve">agent_run_tools</w:t>
      </w:r>
    </w:p>
    <w:p>
      <w:pPr>
        <w:spacing w:after="80" w:line="250"/>
        <w:ind w:left="200"/>
      </w:pPr>
      <w:r>
        <w:rPr>
          <w:rFonts w:ascii="Consolas" w:cs="Consolas" w:eastAsia="Consolas" w:hAnsi="Consolas"/>
          <w:color w:val="3A4250"/>
          <w:sz w:val="16"/>
          <w:szCs w:val="16"/>
        </w:rPr>
        <w:t xml:space="preserve">tooluse_id (PK) · run_id (FK) · tool_name · sequence_index · input_summary · output_summary · duration_ms · status</w:t>
      </w:r>
    </w:p>
    <w:p>
      <w:pPr>
        <w:spacing w:after="20" w:before="100"/>
      </w:pPr>
      <w:r>
        <w:rPr>
          <w:rFonts w:ascii="Consolas" w:cs="Consolas" w:eastAsia="Consolas" w:hAnsi="Consolas"/>
          <w:b/>
          <w:bCs/>
          <w:color w:val="0D1B3E"/>
          <w:sz w:val="19"/>
          <w:szCs w:val="19"/>
        </w:rPr>
        <w:t xml:space="preserve">agent_events  (behavior trace)</w:t>
      </w:r>
    </w:p>
    <w:p>
      <w:pPr>
        <w:spacing w:after="80" w:line="250"/>
        <w:ind w:left="200"/>
      </w:pPr>
      <w:r>
        <w:rPr>
          <w:rFonts w:ascii="Consolas" w:cs="Consolas" w:eastAsia="Consolas" w:hAnsi="Consolas"/>
          <w:color w:val="3A4250"/>
          <w:sz w:val="16"/>
          <w:szCs w:val="16"/>
        </w:rPr>
        <w:t xml:space="preserve">event_id (PK) · run_id (FK) · type (decision/step/warning) · payload_json · ts</w:t>
      </w:r>
    </w:p>
    <w:p>
      <w:pPr>
        <w:spacing w:after="20" w:before="100"/>
      </w:pPr>
      <w:r>
        <w:rPr>
          <w:rFonts w:ascii="Consolas" w:cs="Consolas" w:eastAsia="Consolas" w:hAnsi="Consolas"/>
          <w:b/>
          <w:bCs/>
          <w:color w:val="0D1B3E"/>
          <w:sz w:val="19"/>
          <w:szCs w:val="19"/>
        </w:rPr>
        <w:t xml:space="preserve">agent_artifacts  (summary + reference, not full content)</w:t>
      </w:r>
    </w:p>
    <w:p>
      <w:pPr>
        <w:spacing w:after="80" w:line="250"/>
        <w:ind w:left="200"/>
      </w:pPr>
      <w:r>
        <w:rPr>
          <w:rFonts w:ascii="Consolas" w:cs="Consolas" w:eastAsia="Consolas" w:hAnsi="Consolas"/>
          <w:color w:val="3A4250"/>
          <w:sz w:val="16"/>
          <w:szCs w:val="16"/>
        </w:rPr>
        <w:t xml:space="preserve">artifact_id (PK) · run_id (FK) · user_id (FK) · agent_key · layer · artifact_type · summary_json · content_ref · size · created_at</w:t>
      </w:r>
    </w:p>
    <w:p>
      <w:pPr>
        <w:spacing w:after="50" w:before="180"/>
      </w:pPr>
      <w:r>
        <w:rPr>
          <w:rFonts w:ascii="Calibri" w:cs="Calibri" w:eastAsia="Calibri" w:hAnsi="Calibri"/>
          <w:b/>
          <w:bCs/>
          <w:caps/>
          <w:color w:val="2E7D8C"/>
          <w:spacing w:val="24"/>
          <w:sz w:val="16"/>
          <w:szCs w:val="16"/>
        </w:rPr>
        <w:t xml:space="preserve">Governance &amp; audit — retained long</w:t>
      </w:r>
    </w:p>
    <w:p>
      <w:pPr>
        <w:spacing w:after="20" w:before="100"/>
      </w:pPr>
      <w:r>
        <w:rPr>
          <w:rFonts w:ascii="Consolas" w:cs="Consolas" w:eastAsia="Consolas" w:hAnsi="Consolas"/>
          <w:b/>
          <w:bCs/>
          <w:color w:val="0D1B3E"/>
          <w:sz w:val="19"/>
          <w:szCs w:val="19"/>
        </w:rPr>
        <w:t xml:space="preserve">observability_flags</w:t>
      </w:r>
    </w:p>
    <w:p>
      <w:pPr>
        <w:spacing w:after="80" w:line="250"/>
        <w:ind w:left="200"/>
      </w:pPr>
      <w:r>
        <w:rPr>
          <w:rFonts w:ascii="Consolas" w:cs="Consolas" w:eastAsia="Consolas" w:hAnsi="Consolas"/>
          <w:color w:val="3A4250"/>
          <w:sz w:val="16"/>
          <w:szCs w:val="16"/>
        </w:rPr>
        <w:t xml:space="preserve">flag_id (PK) · target_type (run/tool/artifact) · target_id · rule_id (FK) · severity · reason · created_at</w:t>
      </w:r>
    </w:p>
    <w:p>
      <w:pPr>
        <w:spacing w:after="20" w:before="100"/>
      </w:pPr>
      <w:r>
        <w:rPr>
          <w:rFonts w:ascii="Consolas" w:cs="Consolas" w:eastAsia="Consolas" w:hAnsi="Consolas"/>
          <w:b/>
          <w:bCs/>
          <w:color w:val="0D1B3E"/>
          <w:sz w:val="19"/>
          <w:szCs w:val="19"/>
        </w:rPr>
        <w:t xml:space="preserve">guardrail_rules  (admin-configurable)</w:t>
      </w:r>
    </w:p>
    <w:p>
      <w:pPr>
        <w:spacing w:after="80" w:line="250"/>
        <w:ind w:left="200"/>
      </w:pPr>
      <w:r>
        <w:rPr>
          <w:rFonts w:ascii="Consolas" w:cs="Consolas" w:eastAsia="Consolas" w:hAnsi="Consolas"/>
          <w:color w:val="3A4250"/>
          <w:sz w:val="16"/>
          <w:szCs w:val="16"/>
        </w:rPr>
        <w:t xml:space="preserve">rule_id (PK) · scope (global/layer/agent) · scope_ref · rule_type (tool_allowlist/param_bound/output_filter/content_policy/rate_limit/model_constraint) · definition_json · action (log/warn/block) · is_enabled · created_by · updated_at</w:t>
      </w:r>
    </w:p>
    <w:p>
      <w:pPr>
        <w:spacing w:after="20" w:before="100"/>
      </w:pPr>
      <w:r>
        <w:rPr>
          <w:rFonts w:ascii="Consolas" w:cs="Consolas" w:eastAsia="Consolas" w:hAnsi="Consolas"/>
          <w:b/>
          <w:bCs/>
          <w:color w:val="0D1B3E"/>
          <w:sz w:val="19"/>
          <w:szCs w:val="19"/>
        </w:rPr>
        <w:t xml:space="preserve">guardrail_policies</w:t>
      </w:r>
    </w:p>
    <w:p>
      <w:pPr>
        <w:spacing w:after="80" w:line="250"/>
        <w:ind w:left="200"/>
      </w:pPr>
      <w:r>
        <w:rPr>
          <w:rFonts w:ascii="Consolas" w:cs="Consolas" w:eastAsia="Consolas" w:hAnsi="Consolas"/>
          <w:color w:val="3A4250"/>
          <w:sz w:val="16"/>
          <w:szCs w:val="16"/>
        </w:rPr>
        <w:t xml:space="preserve">policy_id (PK) · name · description · scope · rule_ids_json · is_active</w:t>
      </w:r>
    </w:p>
    <w:p>
      <w:pPr>
        <w:spacing w:after="20" w:before="100"/>
      </w:pPr>
      <w:r>
        <w:rPr>
          <w:rFonts w:ascii="Consolas" w:cs="Consolas" w:eastAsia="Consolas" w:hAnsi="Consolas"/>
          <w:b/>
          <w:bCs/>
          <w:color w:val="0D1B3E"/>
          <w:sz w:val="19"/>
          <w:szCs w:val="19"/>
        </w:rPr>
        <w:t xml:space="preserve">admin_access_audit</w:t>
      </w:r>
    </w:p>
    <w:p>
      <w:pPr>
        <w:spacing w:after="80" w:line="250"/>
        <w:ind w:left="200"/>
      </w:pPr>
      <w:r>
        <w:rPr>
          <w:rFonts w:ascii="Consolas" w:cs="Consolas" w:eastAsia="Consolas" w:hAnsi="Consolas"/>
          <w:color w:val="3A4250"/>
          <w:sz w:val="16"/>
          <w:szCs w:val="16"/>
        </w:rPr>
        <w:t xml:space="preserve">audit_id (PK) · admin_user_id (FK) · action (view_run/view_artifact/export) · target_id · ts</w:t>
      </w:r>
    </w:p>
    <w:p>
      <w:pPr>
        <w:pStyle w:val="Heading1"/>
        <w:pBdr>
          <w:bottom w:val="single" w:color="C9952A" w:sz="10" w:space="6"/>
        </w:pBdr>
        <w:spacing w:after="120" w:before="300"/>
      </w:pPr>
      <w:r>
        <w:rPr>
          <w:rFonts w:ascii="Calibri" w:cs="Calibri" w:eastAsia="Calibri" w:hAnsi="Calibri"/>
          <w:b/>
          <w:bCs/>
          <w:color w:val="C9952A"/>
          <w:sz w:val="26"/>
          <w:szCs w:val="26"/>
        </w:rPr>
        <w:t xml:space="preserve">7.  </w:t>
      </w:r>
      <w:r>
        <w:rPr>
          <w:rFonts w:ascii="Calibri" w:cs="Calibri" w:eastAsia="Calibri" w:hAnsi="Calibri"/>
          <w:b/>
          <w:bCs/>
          <w:color w:val="1A3557"/>
          <w:sz w:val="26"/>
          <w:szCs w:val="26"/>
        </w:rPr>
        <w:t xml:space="preserve">Capture &amp; Instrumentation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Where it hooks. </w:t>
      </w:r>
      <w:r>
        <w:rPr>
          <w:rFonts w:ascii="Calibri" w:cs="Calibri" w:eastAsia="Calibri" w:hAnsi="Calibri"/>
          <w:b w:val="false"/>
          <w:bCs w:val="false"/>
          <w:i w:val="false"/>
          <w:iCs w:val="false"/>
          <w:caps w:val="false"/>
          <w:color w:val="20272E"/>
          <w:sz w:val="21"/>
          <w:szCs w:val="21"/>
        </w:rPr>
        <w:t xml:space="preserve">a single shared emit hook wraps the agent execution pipeline and feeds all three consumers — calibration, the World view, and this console. On each invocation it opens the shared agent_runs header; each tool call appends agent_run_tools; each deliverable writes an agent_artifacts summary + reference; each decision writes agent_events.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Non-blocking. </w:t>
      </w:r>
      <w:r>
        <w:rPr>
          <w:rFonts w:ascii="Calibri" w:cs="Calibri" w:eastAsia="Calibri" w:hAnsi="Calibri"/>
          <w:b w:val="false"/>
          <w:bCs w:val="false"/>
          <w:i w:val="false"/>
          <w:iCs w:val="false"/>
          <w:caps w:val="false"/>
          <w:color w:val="20272E"/>
          <w:sz w:val="21"/>
          <w:szCs w:val="21"/>
        </w:rPr>
        <w:t xml:space="preserve">capture is asynchronous — instrumentation never slows a simulation, and if telemetry fails the agent still runs (capture fails open).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Live view. </w:t>
      </w:r>
      <w:r>
        <w:rPr>
          <w:rFonts w:ascii="Calibri" w:cs="Calibri" w:eastAsia="Calibri" w:hAnsi="Calibri"/>
          <w:b w:val="false"/>
          <w:bCs w:val="false"/>
          <w:i w:val="false"/>
          <w:iCs w:val="false"/>
          <w:caps w:val="false"/>
          <w:color w:val="20272E"/>
          <w:sz w:val="21"/>
          <w:szCs w:val="21"/>
        </w:rPr>
        <w:t xml:space="preserve">runs stream to the console over the existing SSE channel so admins can watch behavior in real time.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Sampling &amp; retention. </w:t>
      </w:r>
      <w:r>
        <w:rPr>
          <w:rFonts w:ascii="Calibri" w:cs="Calibri" w:eastAsia="Calibri" w:hAnsi="Calibri"/>
          <w:b w:val="false"/>
          <w:bCs w:val="false"/>
          <w:i w:val="false"/>
          <w:iCs w:val="false"/>
          <w:caps w:val="false"/>
          <w:color w:val="20272E"/>
          <w:sz w:val="21"/>
          <w:szCs w:val="21"/>
        </w:rPr>
        <w:t xml:space="preserve">full-capture vs. sampled, the retention window, and PII-redaction toggles are all admin-configurable; least-data capture is the default.</w:t>
      </w:r>
    </w:p>
    <w:p>
      <w:pPr>
        <w:pStyle w:val="Heading1"/>
        <w:pBdr>
          <w:bottom w:val="single" w:color="C9952A" w:sz="10" w:space="6"/>
        </w:pBdr>
        <w:spacing w:after="120" w:before="300"/>
      </w:pPr>
      <w:r>
        <w:rPr>
          <w:rFonts w:ascii="Calibri" w:cs="Calibri" w:eastAsia="Calibri" w:hAnsi="Calibri"/>
          <w:b/>
          <w:bCs/>
          <w:color w:val="C9952A"/>
          <w:sz w:val="26"/>
          <w:szCs w:val="26"/>
        </w:rPr>
        <w:t xml:space="preserve">8.  </w:t>
      </w:r>
      <w:r>
        <w:rPr>
          <w:rFonts w:ascii="Calibri" w:cs="Calibri" w:eastAsia="Calibri" w:hAnsi="Calibri"/>
          <w:b/>
          <w:bCs/>
          <w:color w:val="1A3557"/>
          <w:sz w:val="26"/>
          <w:szCs w:val="26"/>
        </w:rPr>
        <w:t xml:space="preserve">API / Endpoints (Flask, admin)</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/admin/api/observability/layers</w:t>
      </w:r>
      <w:r>
        <w:rPr>
          <w:rFonts w:ascii="Calibri" w:cs="Calibri" w:eastAsia="Calibri" w:hAnsi="Calibri"/>
          <w:b w:val="false"/>
          <w:bCs w:val="false"/>
          <w:i w:val="false"/>
          <w:iCs w:val="false"/>
          <w:caps w:val="false"/>
          <w:color w:val="20272E"/>
          <w:sz w:val="21"/>
          <w:szCs w:val="21"/>
        </w:rPr>
        <w:t xml:space="preserve">  — by-layer rollups.</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/admin/api/observability/agents?layer=</w:t>
      </w:r>
      <w:r>
        <w:rPr>
          <w:rFonts w:ascii="Calibri" w:cs="Calibri" w:eastAsia="Calibri" w:hAnsi="Calibri"/>
          <w:b w:val="false"/>
          <w:bCs w:val="false"/>
          <w:i w:val="false"/>
          <w:iCs w:val="false"/>
          <w:caps w:val="false"/>
          <w:color w:val="20272E"/>
          <w:sz w:val="21"/>
          <w:szCs w:val="21"/>
        </w:rPr>
        <w:t xml:space="preserve">  — per-agent rollups.</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/admin/api/observability/runs?filters</w:t>
      </w:r>
      <w:r>
        <w:rPr>
          <w:rFonts w:ascii="Calibri" w:cs="Calibri" w:eastAsia="Calibri" w:hAnsi="Calibri"/>
          <w:b w:val="false"/>
          <w:bCs w:val="false"/>
          <w:i w:val="false"/>
          <w:iCs w:val="false"/>
          <w:caps w:val="false"/>
          <w:color w:val="20272E"/>
          <w:sz w:val="21"/>
          <w:szCs w:val="21"/>
        </w:rPr>
        <w:t xml:space="preserve">  — filtered run list.</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/admin/api/observability/runs/:id</w:t>
      </w:r>
      <w:r>
        <w:rPr>
          <w:rFonts w:ascii="Calibri" w:cs="Calibri" w:eastAsia="Calibri" w:hAnsi="Calibri"/>
          <w:b w:val="false"/>
          <w:bCs w:val="false"/>
          <w:i w:val="false"/>
          <w:iCs w:val="false"/>
          <w:caps w:val="false"/>
          <w:color w:val="20272E"/>
          <w:sz w:val="21"/>
          <w:szCs w:val="21"/>
        </w:rPr>
        <w:t xml:space="preserve">  — full run detail: behavior, tools, artifacts.</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/admin/api/observability/artifacts/:id</w:t>
      </w:r>
      <w:r>
        <w:rPr>
          <w:rFonts w:ascii="Calibri" w:cs="Calibri" w:eastAsia="Calibri" w:hAnsi="Calibri"/>
          <w:b w:val="false"/>
          <w:bCs w:val="false"/>
          <w:i w:val="false"/>
          <w:iCs w:val="false"/>
          <w:caps w:val="false"/>
          <w:color w:val="20272E"/>
          <w:sz w:val="21"/>
          <w:szCs w:val="21"/>
        </w:rPr>
        <w:t xml:space="preserve">  — artifact content (writes an access-audit row).</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/admin/api/observability/flags</w:t>
      </w:r>
      <w:r>
        <w:rPr>
          <w:rFonts w:ascii="Calibri" w:cs="Calibri" w:eastAsia="Calibri" w:hAnsi="Calibri"/>
          <w:b w:val="false"/>
          <w:bCs w:val="false"/>
          <w:i w:val="false"/>
          <w:iCs w:val="false"/>
          <w:caps w:val="false"/>
          <w:color w:val="20272E"/>
          <w:sz w:val="21"/>
          <w:szCs w:val="21"/>
        </w:rPr>
        <w:t xml:space="preserve">  — flagged items.</w:t>
      </w:r>
    </w:p>
    <w:p>
      <w:pPr>
        <w:pStyle w:val="ListParagraph"/>
        <w:numPr>
          <w:ilvl w:val="0"/>
          <w:numId w:val="2"/>
        </w:numPr>
        <w:spacing w:after="60" w:line="258"/>
      </w:pPr>
      <w:r>
        <w:rPr>
          <w:rFonts w:ascii="Consolas" w:cs="Consolas" w:eastAsia="Consolas" w:hAnsi="Consolas"/>
          <w:color w:val="0D1B3E"/>
          <w:sz w:val="18"/>
          <w:szCs w:val="18"/>
        </w:rPr>
        <w:t xml:space="preserve">GET/POST/PUT /admin/api/guardrails/rules · /policies</w:t>
      </w:r>
      <w:r>
        <w:rPr>
          <w:rFonts w:ascii="Calibri" w:cs="Calibri" w:eastAsia="Calibri" w:hAnsi="Calibri"/>
          <w:b w:val="false"/>
          <w:bCs w:val="false"/>
          <w:i w:val="false"/>
          <w:iCs w:val="false"/>
          <w:caps w:val="false"/>
          <w:color w:val="20272E"/>
          <w:sz w:val="21"/>
          <w:szCs w:val="21"/>
        </w:rPr>
        <w:t xml:space="preserve">  — author and manage guardrails.</w:t>
      </w:r>
    </w:p>
    <w:p>
      <w:pPr>
        <w:pStyle w:val="ListParagraph"/>
        <w:numPr>
          <w:ilvl w:val="0"/>
          <w:numId w:val="2"/>
        </w:numPr>
        <w:spacing w:after="60" w:line="258"/>
      </w:pPr>
      <w:r>
        <w:rPr>
          <w:rFonts w:ascii="Consolas" w:cs="Consolas" w:eastAsia="Consolas" w:hAnsi="Consolas"/>
          <w:color w:val="0D1B3E"/>
          <w:sz w:val="18"/>
          <w:szCs w:val="18"/>
        </w:rPr>
        <w:t xml:space="preserve">GET /admin/api/observability/stream</w:t>
      </w:r>
      <w:r>
        <w:rPr>
          <w:rFonts w:ascii="Calibri" w:cs="Calibri" w:eastAsia="Calibri" w:hAnsi="Calibri"/>
          <w:b w:val="false"/>
          <w:bCs w:val="false"/>
          <w:i w:val="false"/>
          <w:iCs w:val="false"/>
          <w:caps w:val="false"/>
          <w:color w:val="20272E"/>
          <w:sz w:val="21"/>
          <w:szCs w:val="21"/>
        </w:rPr>
        <w:t xml:space="preserve">  — SSE live run feed.</w:t>
      </w:r>
    </w:p>
    <w:p>
      <w:pPr>
        <w:pStyle w:val="Heading1"/>
        <w:pBdr>
          <w:bottom w:val="single" w:color="C9952A" w:sz="10" w:space="6"/>
        </w:pBdr>
        <w:spacing w:after="120" w:before="300"/>
      </w:pPr>
      <w:r>
        <w:rPr>
          <w:rFonts w:ascii="Calibri" w:cs="Calibri" w:eastAsia="Calibri" w:hAnsi="Calibri"/>
          <w:b/>
          <w:bCs/>
          <w:color w:val="C9952A"/>
          <w:sz w:val="26"/>
          <w:szCs w:val="26"/>
        </w:rPr>
        <w:t xml:space="preserve">9.  </w:t>
      </w:r>
      <w:r>
        <w:rPr>
          <w:rFonts w:ascii="Calibri" w:cs="Calibri" w:eastAsia="Calibri" w:hAnsi="Calibri"/>
          <w:b/>
          <w:bCs/>
          <w:color w:val="1A3557"/>
          <w:sz w:val="26"/>
          <w:szCs w:val="26"/>
        </w:rPr>
        <w:t xml:space="preserve">From Observability to Guardrails</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purpose of the console is not just to watch — it is to govern. Observed behavior becomes policy:</w:t>
      </w:r>
    </w:p>
    <w:tbl>
      <w:tblPr>
        <w:tblW w:type="dxa" w:w="9360"/>
        <w:tblBorders>
          <w:top w:val="single" w:color="C9CFD8" w:sz="2"/>
          <w:left w:val="none"/>
          <w:bottom w:val="single" w:color="C9CFD8" w:sz="2"/>
          <w:right w:val="none"/>
          <w:insideH w:val="single" w:color="E1E5EB" w:sz="2"/>
          <w:insideV w:val="single" w:color="E1E5EB" w:sz="2"/>
        </w:tblBorders>
      </w:tblPr>
      <w:tblGrid>
        <w:gridCol w:w="2600"/>
        <w:gridCol w:w="3160"/>
        <w:gridCol w:w="3600"/>
      </w:tblGrid>
      <w:tr>
        <w:trPr>
          <w:tblHeader/>
        </w:trPr>
        <w:tc>
          <w:tcPr>
            <w:tcW w:type="dxa" w:w="26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Guardrail type</w:t>
            </w:r>
          </w:p>
        </w:tc>
        <w:tc>
          <w:tcPr>
            <w:tcW w:type="dxa" w:w="31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What it constrains</w:t>
            </w:r>
          </w:p>
        </w:tc>
        <w:tc>
          <w:tcPr>
            <w:tcW w:type="dxa" w:w="36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Example</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Tool allow/deny-list</w:t>
            </w:r>
          </w:p>
        </w:tc>
        <w:tc>
          <w:tcPr>
            <w:tcW w:type="dxa" w:w="31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Which tools an agent or layer may invoke</w:t>
            </w:r>
          </w:p>
        </w:tc>
        <w:tc>
          <w:tcPr>
            <w:tcW w:type="dxa" w:w="3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Block a Layer 1 agent from calling an outbound-send tool</w:t>
            </w:r>
          </w:p>
        </w:tc>
      </w:tr>
      <w:tr>
        <w:tc>
          <w:tcPr>
            <w:tcW w:type="dxa" w:w="26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Parameter bounds</w:t>
            </w:r>
          </w:p>
        </w:tc>
        <w:tc>
          <w:tcPr>
            <w:tcW w:type="dxa" w:w="31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Min/max/enum on agent inputs</w:t>
            </w:r>
          </w:p>
        </w:tc>
        <w:tc>
          <w:tcPr>
            <w:tcW w:type="dxa" w:w="36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Enforce a rate-card floor; cap billable-hours realism</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Output / content policy</w:t>
            </w:r>
          </w:p>
        </w:tc>
        <w:tc>
          <w:tcPr>
            <w:tcW w:type="dxa" w:w="31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Filters on generated artifacts</w:t>
            </w:r>
          </w:p>
        </w:tc>
        <w:tc>
          <w:tcPr>
            <w:tcW w:type="dxa" w:w="3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No unverifiable earnings claims; strip PII; add required disclaimers</w:t>
            </w:r>
          </w:p>
        </w:tc>
      </w:tr>
      <w:tr>
        <w:tc>
          <w:tcPr>
            <w:tcW w:type="dxa" w:w="26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Rate limit</w:t>
            </w:r>
          </w:p>
        </w:tc>
        <w:tc>
          <w:tcPr>
            <w:tcW w:type="dxa" w:w="31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How often an agent may run</w:t>
            </w:r>
          </w:p>
        </w:tc>
        <w:tc>
          <w:tcPr>
            <w:tcW w:type="dxa" w:w="360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Throttle a runaway automation agent</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Model constraint</w:t>
            </w:r>
          </w:p>
        </w:tc>
        <w:tc>
          <w:tcPr>
            <w:tcW w:type="dxa" w:w="31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Which model an agent may use</w:t>
            </w:r>
          </w:p>
        </w:tc>
        <w:tc>
          <w:tcPr>
            <w:tcW w:type="dxa" w:w="360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Pin a sensitive agent to an approved model</w:t>
            </w:r>
          </w:p>
        </w:tc>
      </w:tr>
    </w:tbl>
    <w:p>
      <w:pPr>
        <w:spacing w:after="80"/>
      </w:pP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Scope &amp; action. </w:t>
      </w:r>
      <w:r>
        <w:rPr>
          <w:rFonts w:ascii="Calibri" w:cs="Calibri" w:eastAsia="Calibri" w:hAnsi="Calibri"/>
          <w:b w:val="false"/>
          <w:bCs w:val="false"/>
          <w:i w:val="false"/>
          <w:iCs w:val="false"/>
          <w:caps w:val="false"/>
          <w:color w:val="20272E"/>
          <w:sz w:val="21"/>
          <w:szCs w:val="21"/>
        </w:rPr>
        <w:t xml:space="preserve">every rule is scoped global, per-layer, or per-agent, with a progressive action: log → warn → block.</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Author from a run. </w:t>
      </w:r>
      <w:r>
        <w:rPr>
          <w:rFonts w:ascii="Calibri" w:cs="Calibri" w:eastAsia="Calibri" w:hAnsi="Calibri"/>
          <w:b w:val="false"/>
          <w:bCs w:val="false"/>
          <w:i w:val="false"/>
          <w:iCs w:val="false"/>
          <w:caps w:val="false"/>
          <w:color w:val="20272E"/>
          <w:sz w:val="21"/>
          <w:szCs w:val="21"/>
        </w:rPr>
        <w:t xml:space="preserve">from any run, tool call, or artifact, “Create guardrail from this” pre-fills a rule scoped to that agent or layer.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Enforcement — post-agent. </w:t>
      </w:r>
      <w:r>
        <w:rPr>
          <w:rFonts w:ascii="Calibri" w:cs="Calibri" w:eastAsia="Calibri" w:hAnsi="Calibri"/>
          <w:b w:val="false"/>
          <w:bCs w:val="false"/>
          <w:i w:val="false"/>
          <w:iCs w:val="false"/>
          <w:caps w:val="false"/>
          <w:color w:val="20272E"/>
          <w:sz w:val="21"/>
          <w:szCs w:val="21"/>
        </w:rPr>
        <w:t xml:space="preserve">the guardrail engine evaluates the completed run — its output, the artifact, and the tools and parameters used — then acts. “Block” withholds delivery of the output and quarantines the artifact rather than preventing the run; a blocking rule that errors fails closed.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Two carve-outs. </w:t>
      </w:r>
      <w:r>
        <w:rPr>
          <w:rFonts w:ascii="Calibri" w:cs="Calibri" w:eastAsia="Calibri" w:hAnsi="Calibri"/>
          <w:b w:val="false"/>
          <w:bCs w:val="false"/>
          <w:i w:val="false"/>
          <w:iCs w:val="false"/>
          <w:caps w:val="false"/>
          <w:color w:val="20272E"/>
          <w:sz w:val="21"/>
          <w:szCs w:val="21"/>
        </w:rPr>
        <w:t xml:space="preserve">rate-limit rules gate at dispatch (they are cheap and prevent runaway token spend a post-hoc check cannot); and guardrails on side-effecting tools evaluate at the tool-call boundary, so an irreversible action — a real outbound send or external write — can be blocked before it commits.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Withheld-result UX. </w:t>
      </w:r>
      <w:r>
        <w:rPr>
          <w:rFonts w:ascii="Calibri" w:cs="Calibri" w:eastAsia="Calibri" w:hAnsi="Calibri"/>
          <w:b w:val="false"/>
          <w:bCs w:val="false"/>
          <w:i w:val="false"/>
          <w:iCs w:val="false"/>
          <w:caps w:val="false"/>
          <w:color w:val="20272E"/>
          <w:sz w:val="21"/>
          <w:szCs w:val="21"/>
        </w:rPr>
        <w:t xml:space="preserve">a blocked output is shown to the user as held-for-review or replaced with a safe fallback, never a hard error.</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Effect measurement. </w:t>
      </w:r>
      <w:r>
        <w:rPr>
          <w:rFonts w:ascii="Calibri" w:cs="Calibri" w:eastAsia="Calibri" w:hAnsi="Calibri"/>
          <w:b w:val="false"/>
          <w:bCs w:val="false"/>
          <w:i w:val="false"/>
          <w:iCs w:val="false"/>
          <w:caps w:val="false"/>
          <w:color w:val="20272E"/>
          <w:sz w:val="21"/>
          <w:szCs w:val="21"/>
        </w:rPr>
        <w:t xml:space="preserve">the console shows each rule's flag and block rate over time, so admins can tell whether a guardrail is working or over-firing.</w:t>
      </w:r>
    </w:p>
    <w:p>
      <w:pPr>
        <w:pStyle w:val="Heading1"/>
        <w:pBdr>
          <w:bottom w:val="single" w:color="C9952A" w:sz="10" w:space="6"/>
        </w:pBdr>
        <w:spacing w:after="120" w:before="300"/>
      </w:pPr>
      <w:r>
        <w:rPr>
          <w:rFonts w:ascii="Calibri" w:cs="Calibri" w:eastAsia="Calibri" w:hAnsi="Calibri"/>
          <w:b/>
          <w:bCs/>
          <w:color w:val="C9952A"/>
          <w:sz w:val="26"/>
          <w:szCs w:val="26"/>
        </w:rPr>
        <w:t xml:space="preserve">10.  </w:t>
      </w:r>
      <w:r>
        <w:rPr>
          <w:rFonts w:ascii="Calibri" w:cs="Calibri" w:eastAsia="Calibri" w:hAnsi="Calibri"/>
          <w:b/>
          <w:bCs/>
          <w:color w:val="1A3557"/>
          <w:sz w:val="26"/>
          <w:szCs w:val="26"/>
        </w:rPr>
        <w:t xml:space="preserve">Algorithms to Live By — Explicit Mapping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Bayesian Updating. </w:t>
      </w:r>
      <w:r>
        <w:rPr>
          <w:rFonts w:ascii="Calibri" w:cs="Calibri" w:eastAsia="Calibri" w:hAnsi="Calibri"/>
          <w:b w:val="false"/>
          <w:bCs w:val="false"/>
          <w:i w:val="false"/>
          <w:iCs w:val="false"/>
          <w:caps w:val="false"/>
          <w:color w:val="20272E"/>
          <w:sz w:val="21"/>
          <w:szCs w:val="21"/>
        </w:rPr>
        <w:t xml:space="preserve">a guardrail is a hypothesis about bad behavior; its flag rate updates the admin's confidence in the rule and whether to promote it from warn to block.</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Overfitting. </w:t>
      </w:r>
      <w:r>
        <w:rPr>
          <w:rFonts w:ascii="Calibri" w:cs="Calibri" w:eastAsia="Calibri" w:hAnsi="Calibri"/>
          <w:b w:val="false"/>
          <w:bCs w:val="false"/>
          <w:i w:val="false"/>
          <w:iCs w:val="false"/>
          <w:caps w:val="false"/>
          <w:color w:val="20272E"/>
          <w:sz w:val="21"/>
          <w:szCs w:val="21"/>
        </w:rPr>
        <w:t xml:space="preserve">don't harden a rule around a handful of outlier runs — require enough observations, and favor log→warn→block over an immediate brittle block.</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Optimal Stopping. </w:t>
      </w:r>
      <w:r>
        <w:rPr>
          <w:rFonts w:ascii="Calibri" w:cs="Calibri" w:eastAsia="Calibri" w:hAnsi="Calibri"/>
          <w:b w:val="false"/>
          <w:bCs w:val="false"/>
          <w:i w:val="false"/>
          <w:iCs w:val="false"/>
          <w:caps w:val="false"/>
          <w:color w:val="20272E"/>
          <w:sz w:val="21"/>
          <w:szCs w:val="21"/>
        </w:rPr>
        <w:t xml:space="preserve">sampling and rule-tuning: how many runs to observe before setting a rule, and when to stop tuning it.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Explore vs. Exploit. </w:t>
      </w:r>
      <w:r>
        <w:rPr>
          <w:rFonts w:ascii="Calibri" w:cs="Calibri" w:eastAsia="Calibri" w:hAnsi="Calibri"/>
          <w:b w:val="false"/>
          <w:bCs w:val="false"/>
          <w:i w:val="false"/>
          <w:iCs w:val="false"/>
          <w:caps w:val="false"/>
          <w:color w:val="20272E"/>
          <w:sz w:val="21"/>
          <w:szCs w:val="21"/>
        </w:rPr>
        <w:t xml:space="preserve">exploit known-bad patterns (block them) while still logging new behavior to keep learning — don't over-block and lose the signal.</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Caching. </w:t>
      </w:r>
      <w:r>
        <w:rPr>
          <w:rFonts w:ascii="Calibri" w:cs="Calibri" w:eastAsia="Calibri" w:hAnsi="Calibri"/>
          <w:b w:val="false"/>
          <w:bCs w:val="false"/>
          <w:i w:val="false"/>
          <w:iCs w:val="false"/>
          <w:caps w:val="false"/>
          <w:color w:val="20272E"/>
          <w:sz w:val="21"/>
          <w:szCs w:val="21"/>
        </w:rPr>
        <w:t xml:space="preserve">by-layer rollups and tool-frequency aggregates are materialized and cached (telemetry is write-heavy, dashboards read-heavy), refreshed on a cadence.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Scheduling. </w:t>
      </w:r>
      <w:r>
        <w:rPr>
          <w:rFonts w:ascii="Calibri" w:cs="Calibri" w:eastAsia="Calibri" w:hAnsi="Calibri"/>
          <w:b w:val="false"/>
          <w:bCs w:val="false"/>
          <w:i w:val="false"/>
          <w:iCs w:val="false"/>
          <w:caps w:val="false"/>
          <w:color w:val="20272E"/>
          <w:sz w:val="21"/>
          <w:szCs w:val="21"/>
        </w:rPr>
        <w:t xml:space="preserve">the guardrail engine schedules pre/post checks; retention and rollup jobs run off-peak; instrument the hub agents (Rate Card, Course, Income Allocation) first.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Relaxation. </w:t>
      </w:r>
      <w:r>
        <w:rPr>
          <w:rFonts w:ascii="Calibri" w:cs="Calibri" w:eastAsia="Calibri" w:hAnsi="Calibri"/>
          <w:b w:val="false"/>
          <w:bCs w:val="false"/>
          <w:i w:val="false"/>
          <w:iCs w:val="false"/>
          <w:caps w:val="false"/>
          <w:color w:val="20272E"/>
          <w:sz w:val="21"/>
          <w:szCs w:val="21"/>
        </w:rPr>
        <w:t xml:space="preserve">ship read-only observability first (log everything, view by layer); guardrail authoring and enforcement are later relaxations, not launch blockers.</w:t>
      </w:r>
    </w:p>
    <w:p>
      <w:pPr>
        <w:pStyle w:val="Heading1"/>
        <w:pBdr>
          <w:bottom w:val="single" w:color="C9952A" w:sz="10" w:space="6"/>
        </w:pBdr>
        <w:spacing w:after="120" w:before="300"/>
      </w:pPr>
      <w:r>
        <w:rPr>
          <w:rFonts w:ascii="Calibri" w:cs="Calibri" w:eastAsia="Calibri" w:hAnsi="Calibri"/>
          <w:b/>
          <w:bCs/>
          <w:color w:val="C9952A"/>
          <w:sz w:val="26"/>
          <w:szCs w:val="26"/>
        </w:rPr>
        <w:t xml:space="preserve">11.  </w:t>
      </w:r>
      <w:r>
        <w:rPr>
          <w:rFonts w:ascii="Calibri" w:cs="Calibri" w:eastAsia="Calibri" w:hAnsi="Calibri"/>
          <w:b/>
          <w:bCs/>
          <w:color w:val="1A3557"/>
          <w:sz w:val="26"/>
          <w:szCs w:val="26"/>
        </w:rPr>
        <w:t xml:space="preserve">UI / UX</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Layer overview grid. </w:t>
      </w:r>
      <w:r>
        <w:rPr>
          <w:rFonts w:ascii="Calibri" w:cs="Calibri" w:eastAsia="Calibri" w:hAnsi="Calibri"/>
          <w:b w:val="false"/>
          <w:bCs w:val="false"/>
          <w:i w:val="false"/>
          <w:iCs w:val="false"/>
          <w:caps w:val="false"/>
          <w:color w:val="20272E"/>
          <w:sz w:val="21"/>
          <w:szCs w:val="21"/>
        </w:rPr>
        <w:t xml:space="preserve">six cards (L1–L5 + Orchestration) with volume, error/flag rates, top tools/artifacts, and spend; drill down from any card.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Run detail — three panes. </w:t>
      </w:r>
      <w:r>
        <w:rPr>
          <w:rFonts w:ascii="Calibri" w:cs="Calibri" w:eastAsia="Calibri" w:hAnsi="Calibri"/>
          <w:b w:val="false"/>
          <w:bCs w:val="false"/>
          <w:i w:val="false"/>
          <w:iCs w:val="false"/>
          <w:caps w:val="false"/>
          <w:color w:val="20272E"/>
          <w:sz w:val="21"/>
          <w:szCs w:val="21"/>
        </w:rPr>
        <w:t xml:space="preserve">a behavior-trace timeline, an ordered tool trace, and an artifact viewer that renders each artifact by type (a rate card as a card, an email as text) with a raw/JSON toggle.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Status &amp; flags. </w:t>
      </w:r>
      <w:r>
        <w:rPr>
          <w:rFonts w:ascii="Calibri" w:cs="Calibri" w:eastAsia="Calibri" w:hAnsi="Calibri"/>
          <w:b w:val="false"/>
          <w:bCs w:val="false"/>
          <w:i w:val="false"/>
          <w:iCs w:val="false"/>
          <w:caps w:val="false"/>
          <w:color w:val="20272E"/>
          <w:sz w:val="21"/>
          <w:szCs w:val="21"/>
        </w:rPr>
        <w:t xml:space="preserve">runs color-coded — success (teal), error (red), blocked (amber); flagged items carry the rule and reason.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Author-from-here. </w:t>
      </w:r>
      <w:r>
        <w:rPr>
          <w:rFonts w:ascii="Calibri" w:cs="Calibri" w:eastAsia="Calibri" w:hAnsi="Calibri"/>
          <w:b w:val="false"/>
          <w:bCs w:val="false"/>
          <w:i w:val="false"/>
          <w:iCs w:val="false"/>
          <w:caps w:val="false"/>
          <w:color w:val="20272E"/>
          <w:sz w:val="21"/>
          <w:szCs w:val="21"/>
        </w:rPr>
        <w:t xml:space="preserve">a “Create guardrail from this” affordance on runs, tools, and artifacts opens the rule drawer pre-scoped.</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Midnight Gold, accessible. </w:t>
      </w:r>
      <w:r>
        <w:rPr>
          <w:rFonts w:ascii="Calibri" w:cs="Calibri" w:eastAsia="Calibri" w:hAnsi="Calibri"/>
          <w:b w:val="false"/>
          <w:bCs w:val="false"/>
          <w:i w:val="false"/>
          <w:iCs w:val="false"/>
          <w:caps w:val="false"/>
          <w:color w:val="20272E"/>
          <w:sz w:val="21"/>
          <w:szCs w:val="21"/>
        </w:rPr>
        <w:t xml:space="preserve">consistent theme; keyboard-navigable; status conveyed by icon + label, not color alone; graceful empty/loading/SSE states.</w:t>
      </w:r>
    </w:p>
    <w:p>
      <w:pPr>
        <w:pStyle w:val="Heading1"/>
        <w:pBdr>
          <w:bottom w:val="single" w:color="C9952A" w:sz="10" w:space="6"/>
        </w:pBdr>
        <w:spacing w:after="120" w:before="300"/>
      </w:pPr>
      <w:r>
        <w:rPr>
          <w:rFonts w:ascii="Calibri" w:cs="Calibri" w:eastAsia="Calibri" w:hAnsi="Calibri"/>
          <w:b/>
          <w:bCs/>
          <w:color w:val="C9952A"/>
          <w:sz w:val="26"/>
          <w:szCs w:val="26"/>
        </w:rPr>
        <w:t xml:space="preserve">12.  </w:t>
      </w:r>
      <w:r>
        <w:rPr>
          <w:rFonts w:ascii="Calibri" w:cs="Calibri" w:eastAsia="Calibri" w:hAnsi="Calibri"/>
          <w:b/>
          <w:bCs/>
          <w:color w:val="1A3557"/>
          <w:sz w:val="26"/>
          <w:szCs w:val="26"/>
        </w:rPr>
        <w:t xml:space="preserve">Privacy, Security &amp; Compliance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Admin-only (v1). </w:t>
      </w:r>
      <w:r>
        <w:rPr>
          <w:rFonts w:ascii="Calibri" w:cs="Calibri" w:eastAsia="Calibri" w:hAnsi="Calibri"/>
          <w:b w:val="false"/>
          <w:bCs w:val="false"/>
          <w:i w:val="false"/>
          <w:iCs w:val="false"/>
          <w:caps w:val="false"/>
          <w:color w:val="20272E"/>
          <w:sz w:val="21"/>
          <w:szCs w:val="21"/>
        </w:rPr>
        <w:t xml:space="preserve">the entire surface is gated to Platform Admin via RBAC; there is no end-user path and no Reviewer role in v1.</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Every access audited. </w:t>
      </w:r>
      <w:r>
        <w:rPr>
          <w:rFonts w:ascii="Calibri" w:cs="Calibri" w:eastAsia="Calibri" w:hAnsi="Calibri"/>
          <w:b w:val="false"/>
          <w:bCs w:val="false"/>
          <w:i w:val="false"/>
          <w:iCs w:val="false"/>
          <w:caps w:val="false"/>
          <w:color w:val="20272E"/>
          <w:sz w:val="21"/>
          <w:szCs w:val="21"/>
        </w:rPr>
        <w:t xml:space="preserve">because this exposes cross-user activity, every view or export of a user's run or artifact — including every on-demand fetch of full artifact content — writes an admin_access_audit row (who, what, when).</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Artifacts by reference. </w:t>
      </w:r>
      <w:r>
        <w:rPr>
          <w:rFonts w:ascii="Calibri" w:cs="Calibri" w:eastAsia="Calibri" w:hAnsi="Calibri"/>
          <w:b w:val="false"/>
          <w:bCs w:val="false"/>
          <w:i w:val="false"/>
          <w:iCs w:val="false"/>
          <w:caps w:val="false"/>
          <w:color w:val="20272E"/>
          <w:sz w:val="21"/>
          <w:szCs w:val="21"/>
        </w:rPr>
        <w:t xml:space="preserve">observability stores a structured summary plus a reference; the user's full deliverable stays in the product's existing artifact store and is fetched on demand (and audited), never duplicated here.</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PII at capture. </w:t>
      </w:r>
      <w:r>
        <w:rPr>
          <w:rFonts w:ascii="Calibri" w:cs="Calibri" w:eastAsia="Calibri" w:hAnsi="Calibri"/>
          <w:b w:val="false"/>
          <w:bCs w:val="false"/>
          <w:i w:val="false"/>
          <w:iCs w:val="false"/>
          <w:caps w:val="false"/>
          <w:color w:val="20272E"/>
          <w:sz w:val="21"/>
          <w:szCs w:val="21"/>
        </w:rPr>
        <w:t xml:space="preserve">raw PII is masked at capture so the shared header never holds it; sensitive fields are redacted or hashed; least-data capture is the default.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Retention (all admin-configurable). </w:t>
      </w:r>
      <w:r>
        <w:rPr>
          <w:rFonts w:ascii="Calibri" w:cs="Calibri" w:eastAsia="Calibri" w:hAnsi="Calibri"/>
          <w:b w:val="false"/>
          <w:bCs w:val="false"/>
          <w:i w:val="false"/>
          <w:iCs w:val="false"/>
          <w:caps w:val="false"/>
          <w:color w:val="20272E"/>
          <w:sz w:val="21"/>
          <w:szCs w:val="21"/>
        </w:rPr>
        <w:t xml:space="preserve">run header — product lifecycle (shared with calibration &amp; the World); run detail (tool I/O, behavior trace) and artifact summaries — 30 days; flags and guardrail-fire records — 13 months; the admin access-audit log — 24 months. User deletion cascades to their telemetry.</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Consent &amp; terms. </w:t>
      </w:r>
      <w:r>
        <w:rPr>
          <w:rFonts w:ascii="Calibri" w:cs="Calibri" w:eastAsia="Calibri" w:hAnsi="Calibri"/>
          <w:b w:val="false"/>
          <w:bCs w:val="false"/>
          <w:i w:val="false"/>
          <w:iCs w:val="false"/>
          <w:caps w:val="false"/>
          <w:color w:val="20272E"/>
          <w:sz w:val="21"/>
          <w:szCs w:val="21"/>
        </w:rPr>
        <w:t xml:space="preserve">platform terms must disclose that agent runs are logged for safety and governance; route this through legal review.</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Fail-safe posture. </w:t>
      </w:r>
      <w:r>
        <w:rPr>
          <w:rFonts w:ascii="Calibri" w:cs="Calibri" w:eastAsia="Calibri" w:hAnsi="Calibri"/>
          <w:b w:val="false"/>
          <w:bCs w:val="false"/>
          <w:i w:val="false"/>
          <w:iCs w:val="false"/>
          <w:caps w:val="false"/>
          <w:color w:val="20272E"/>
          <w:sz w:val="21"/>
          <w:szCs w:val="21"/>
        </w:rPr>
        <w:t xml:space="preserve">capture fails open (never breaks a run); enforcement fails closed (a broken blocking rule blocks).</w:t>
      </w:r>
    </w:p>
    <w:p>
      <w:pPr>
        <w:pStyle w:val="Heading1"/>
        <w:pBdr>
          <w:bottom w:val="single" w:color="C9952A" w:sz="10" w:space="6"/>
        </w:pBdr>
        <w:spacing w:after="120" w:before="300"/>
      </w:pPr>
      <w:r>
        <w:rPr>
          <w:rFonts w:ascii="Calibri" w:cs="Calibri" w:eastAsia="Calibri" w:hAnsi="Calibri"/>
          <w:b/>
          <w:bCs/>
          <w:color w:val="C9952A"/>
          <w:sz w:val="26"/>
          <w:szCs w:val="26"/>
        </w:rPr>
        <w:t xml:space="preserve">13.  </w:t>
      </w:r>
      <w:r>
        <w:rPr>
          <w:rFonts w:ascii="Calibri" w:cs="Calibri" w:eastAsia="Calibri" w:hAnsi="Calibri"/>
          <w:b/>
          <w:bCs/>
          <w:color w:val="1A3557"/>
          <w:sz w:val="26"/>
          <w:szCs w:val="26"/>
        </w:rPr>
        <w:t xml:space="preserve">Rollout / Phasing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1 — Capture &amp; view (read-only): </w:t>
      </w:r>
      <w:r>
        <w:rPr>
          <w:rFonts w:ascii="Calibri" w:cs="Calibri" w:eastAsia="Calibri" w:hAnsi="Calibri"/>
          <w:b w:val="false"/>
          <w:bCs w:val="false"/>
          <w:i w:val="false"/>
          <w:iCs w:val="false"/>
          <w:caps w:val="false"/>
          <w:color w:val="20272E"/>
          <w:sz w:val="21"/>
          <w:szCs w:val="21"/>
        </w:rPr>
        <w:t xml:space="preserve">instrument runs, tools and artifacts; the by-layer console; filters; run detail. No guardrails yet.</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2 — Aggregates &amp; flags: </w:t>
      </w:r>
      <w:r>
        <w:rPr>
          <w:rFonts w:ascii="Calibri" w:cs="Calibri" w:eastAsia="Calibri" w:hAnsi="Calibri"/>
          <w:b w:val="false"/>
          <w:bCs w:val="false"/>
          <w:i w:val="false"/>
          <w:iCs w:val="false"/>
          <w:caps w:val="false"/>
          <w:color w:val="20272E"/>
          <w:sz w:val="21"/>
          <w:szCs w:val="21"/>
        </w:rPr>
        <w:t xml:space="preserve">rollups, pattern surfacing, the flags view, and the admin access-audit log.</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3 — Guardrails (log/warn): </w:t>
      </w:r>
      <w:r>
        <w:rPr>
          <w:rFonts w:ascii="Calibri" w:cs="Calibri" w:eastAsia="Calibri" w:hAnsi="Calibri"/>
          <w:b w:val="false"/>
          <w:bCs w:val="false"/>
          <w:i w:val="false"/>
          <w:iCs w:val="false"/>
          <w:caps w:val="false"/>
          <w:color w:val="20272E"/>
          <w:sz w:val="21"/>
          <w:szCs w:val="21"/>
        </w:rPr>
        <w:t xml:space="preserve">author rules; enforce as log/warn; measure flag rates.</w:t>
      </w:r>
    </w:p>
    <w:p>
      <w:pPr>
        <w:pStyle w:val="ListParagraph"/>
        <w:numPr>
          <w:ilvl w:val="0"/>
          <w:numId w:val="2"/>
        </w:numPr>
        <w:spacing w:after="60" w:line="258"/>
      </w:pPr>
      <w:r>
        <w:rPr>
          <w:rFonts w:ascii="Calibri" w:cs="Calibri" w:eastAsia="Calibri" w:hAnsi="Calibri"/>
          <w:b/>
          <w:bCs/>
          <w:i w:val="false"/>
          <w:iCs w:val="false"/>
          <w:caps w:val="false"/>
          <w:color w:val="1A3557"/>
          <w:sz w:val="21"/>
          <w:szCs w:val="21"/>
        </w:rPr>
        <w:t xml:space="preserve">Phase 4 — Enforcement &amp; policies: </w:t>
      </w:r>
      <w:r>
        <w:rPr>
          <w:rFonts w:ascii="Calibri" w:cs="Calibri" w:eastAsia="Calibri" w:hAnsi="Calibri"/>
          <w:b w:val="false"/>
          <w:bCs w:val="false"/>
          <w:i w:val="false"/>
          <w:iCs w:val="false"/>
          <w:caps w:val="false"/>
          <w:color w:val="20272E"/>
          <w:sz w:val="21"/>
          <w:szCs w:val="21"/>
        </w:rPr>
        <w:t xml:space="preserve">promote rules to block; bundle into policies; effect dashboards.</w:t>
      </w:r>
    </w:p>
    <w:p>
      <w:pPr>
        <w:pStyle w:val="Heading1"/>
        <w:pBdr>
          <w:bottom w:val="single" w:color="C9952A" w:sz="10" w:space="6"/>
        </w:pBdr>
        <w:spacing w:after="120" w:before="300"/>
      </w:pPr>
      <w:r>
        <w:rPr>
          <w:rFonts w:ascii="Calibri" w:cs="Calibri" w:eastAsia="Calibri" w:hAnsi="Calibri"/>
          <w:b/>
          <w:bCs/>
          <w:color w:val="C9952A"/>
          <w:sz w:val="26"/>
          <w:szCs w:val="26"/>
        </w:rPr>
        <w:t xml:space="preserve">14.  </w:t>
      </w:r>
      <w:r>
        <w:rPr>
          <w:rFonts w:ascii="Calibri" w:cs="Calibri" w:eastAsia="Calibri" w:hAnsi="Calibri"/>
          <w:b/>
          <w:bCs/>
          <w:color w:val="1A3557"/>
          <w:sz w:val="26"/>
          <w:szCs w:val="26"/>
        </w:rPr>
        <w:t xml:space="preserve">Success Metrics</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Coverage — % of agent runs instrumented, with tools and artifacts captured.</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Time-to-insight — how quickly an admin can find a risky pattern by layer.</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Guardrail efficacy — reduction in undesirable behavior after a rule, and the rule's over-fire rate.</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Safety — drop in policy-violating artifacts once guardrails are enforced.</w:t>
      </w:r>
    </w:p>
    <w:p>
      <w:pPr>
        <w:pStyle w:val="ListParagraph"/>
        <w:numPr>
          <w:ilvl w:val="0"/>
          <w:numId w:val="2"/>
        </w:numPr>
        <w:spacing w:after="60" w:line="258"/>
      </w:pPr>
      <w:r>
        <w:rPr>
          <w:rFonts w:ascii="Calibri" w:cs="Calibri" w:eastAsia="Calibri" w:hAnsi="Calibri"/>
          <w:b w:val="false"/>
          <w:bCs w:val="false"/>
          <w:i w:val="false"/>
          <w:iCs w:val="false"/>
          <w:caps w:val="false"/>
          <w:color w:val="20272E"/>
          <w:sz w:val="21"/>
          <w:szCs w:val="21"/>
        </w:rPr>
        <w:t xml:space="preserve">Governance integrity — zero unaudited cross-user accesses.</w:t>
      </w:r>
    </w:p>
    <w:p>
      <w:pPr>
        <w:pStyle w:val="Heading1"/>
        <w:pBdr>
          <w:bottom w:val="single" w:color="C9952A" w:sz="10" w:space="6"/>
        </w:pBdr>
        <w:spacing w:after="120" w:before="300"/>
      </w:pPr>
      <w:r>
        <w:rPr>
          <w:rFonts w:ascii="Calibri" w:cs="Calibri" w:eastAsia="Calibri" w:hAnsi="Calibri"/>
          <w:b/>
          <w:bCs/>
          <w:color w:val="C9952A"/>
          <w:sz w:val="26"/>
          <w:szCs w:val="26"/>
        </w:rPr>
        <w:t xml:space="preserve">15.  </w:t>
      </w:r>
      <w:r>
        <w:rPr>
          <w:rFonts w:ascii="Calibri" w:cs="Calibri" w:eastAsia="Calibri" w:hAnsi="Calibri"/>
          <w:b/>
          <w:bCs/>
          <w:color w:val="1A3557"/>
          <w:sz w:val="26"/>
          <w:szCs w:val="26"/>
        </w:rPr>
        <w:t xml:space="preserve">Resolved Decisions</w:t>
      </w:r>
    </w:p>
    <w:p>
      <w:pPr>
        <w:spacing w:after="130" w:before="0" w:line="264"/>
        <w:jc w:val="both"/>
      </w:pPr>
      <w:r>
        <w:rPr>
          <w:rFonts w:ascii="Calibri" w:cs="Calibri" w:eastAsia="Calibri" w:hAnsi="Calibri"/>
          <w:b w:val="false"/>
          <w:bCs w:val="false"/>
          <w:i w:val="false"/>
          <w:iCs w:val="false"/>
          <w:caps w:val="false"/>
          <w:color w:val="20272E"/>
          <w:sz w:val="21"/>
          <w:szCs w:val="21"/>
        </w:rPr>
        <w:t xml:space="preserve">The v1.0 open questions are resolved as follows and are reflected throughout this revision.</w:t>
      </w:r>
    </w:p>
    <w:tbl>
      <w:tblPr>
        <w:tblW w:type="dxa" w:w="9360"/>
        <w:tblBorders>
          <w:top w:val="single" w:color="C9CFD8" w:sz="2"/>
          <w:left w:val="none"/>
          <w:bottom w:val="single" w:color="C9CFD8" w:sz="2"/>
          <w:right w:val="none"/>
          <w:insideH w:val="single" w:color="E1E5EB" w:sz="2"/>
          <w:insideV w:val="single" w:color="E1E5EB" w:sz="2"/>
        </w:tblBorders>
      </w:tblPr>
      <w:tblGrid>
        <w:gridCol w:w="2600"/>
        <w:gridCol w:w="6760"/>
      </w:tblGrid>
      <w:tr>
        <w:trPr>
          <w:tblHeader/>
        </w:trPr>
        <w:tc>
          <w:tcPr>
            <w:tcW w:type="dxa" w:w="260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Decision</w:t>
            </w:r>
          </w:p>
        </w:tc>
        <w:tc>
          <w:tcPr>
            <w:tcW w:type="dxa" w:w="6760"/>
            <w:shd w:fill="1A3557" w:val="clear"/>
            <w:tcMar>
              <w:top w:type="dxa" w:w="60"/>
              <w:left w:type="dxa" w:w="110"/>
              <w:bottom w:type="dxa" w:w="60"/>
              <w:right w:type="dxa" w:w="110"/>
            </w:tcMar>
          </w:tcPr>
          <w:p>
            <w:pPr>
              <w:spacing w:after="0" w:line="248"/>
            </w:pPr>
            <w:r>
              <w:rPr>
                <w:rFonts w:ascii="Calibri" w:cs="Calibri" w:eastAsia="Calibri" w:hAnsi="Calibri"/>
                <w:b/>
                <w:bCs/>
                <w:color w:val="FFFFFF"/>
                <w:sz w:val="16"/>
                <w:szCs w:val="16"/>
              </w:rPr>
              <w:t xml:space="preserve">Resolution</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Telemetry store</w:t>
            </w:r>
          </w:p>
        </w:tc>
        <w:tc>
          <w:tcPr>
            <w:tcW w:type="dxa" w:w="67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Shared agent_runs — one source of truth for calibration, the World, and observability, fed by one emit hook.</w:t>
            </w:r>
          </w:p>
        </w:tc>
      </w:tr>
      <w:tr>
        <w:tc>
          <w:tcPr>
            <w:tcW w:type="dxa" w:w="26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Retention &amp; artifacts</w:t>
            </w:r>
          </w:p>
        </w:tc>
        <w:tc>
          <w:tcPr>
            <w:tcW w:type="dxa" w:w="67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Header (product lifecycle) / detail split; artifacts by reference + summary (full content in the product store, audited on fetch); detail &amp; summaries 30 days · flags 13 months · access-audit 24 months — all admin-configurable.</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Enforcement hook</w:t>
            </w:r>
          </w:p>
        </w:tc>
        <w:tc>
          <w:tcPr>
            <w:tcW w:type="dxa" w:w="67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Post-agent output enforcement, with two carve-outs: rate-limits gate at dispatch; side-effecting tools evaluate at the tool-call boundary.</w:t>
            </w:r>
          </w:p>
        </w:tc>
      </w:tr>
      <w:tr>
        <w:tc>
          <w:tcPr>
            <w:tcW w:type="dxa" w:w="2600"/>
            <w:shd w:fill="F7F9FB"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Reviewer role</w:t>
            </w:r>
          </w:p>
        </w:tc>
        <w:tc>
          <w:tcPr>
            <w:tcW w:type="dxa" w:w="6760"/>
            <w:shd w:fill="F7F9FB"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Admin-only in v1; a read-only Reviewer role is a planned additive tier.</w:t>
            </w:r>
          </w:p>
        </w:tc>
      </w:tr>
      <w:tr>
        <w:tc>
          <w:tcPr>
            <w:tcW w:type="dxa" w:w="2600"/>
            <w:shd w:fill="FFFFFF" w:val="clear"/>
            <w:tcMar>
              <w:top w:type="dxa" w:w="60"/>
              <w:left w:type="dxa" w:w="110"/>
              <w:bottom w:type="dxa" w:w="60"/>
              <w:right w:type="dxa" w:w="110"/>
            </w:tcMar>
          </w:tcPr>
          <w:p>
            <w:pPr>
              <w:spacing w:after="0" w:line="248"/>
            </w:pPr>
            <w:r>
              <w:rPr>
                <w:rFonts w:ascii="Calibri" w:cs="Calibri" w:eastAsia="Calibri" w:hAnsi="Calibri"/>
                <w:b/>
                <w:bCs/>
                <w:color w:val="20272E"/>
                <w:sz w:val="16"/>
                <w:szCs w:val="16"/>
              </w:rPr>
              <w:t xml:space="preserve">PII handling</w:t>
            </w:r>
          </w:p>
        </w:tc>
        <w:tc>
          <w:tcPr>
            <w:tcW w:type="dxa" w:w="6760"/>
            <w:shd w:fill="FFFFFF" w:val="clear"/>
            <w:tcMar>
              <w:top w:type="dxa" w:w="60"/>
              <w:left w:type="dxa" w:w="110"/>
              <w:bottom w:type="dxa" w:w="60"/>
              <w:right w:type="dxa" w:w="110"/>
            </w:tcMar>
          </w:tcPr>
          <w:p>
            <w:pPr>
              <w:spacing w:after="0" w:line="248"/>
            </w:pPr>
            <w:r>
              <w:rPr>
                <w:rFonts w:ascii="Calibri" w:cs="Calibri" w:eastAsia="Calibri" w:hAnsi="Calibri"/>
                <w:b w:val="false"/>
                <w:bCs w:val="false"/>
                <w:color w:val="20272E"/>
                <w:sz w:val="16"/>
                <w:szCs w:val="16"/>
              </w:rPr>
              <w:t xml:space="preserve">Masked at capture so the shared header holds no raw PII; full content reached only via an audited fetch.</w:t>
            </w:r>
          </w:p>
        </w:tc>
      </w:tr>
    </w:tbl>
    <w:p>
      <w:pPr>
        <w:spacing w:after="80"/>
      </w:pPr>
    </w:p>
    <w:p>
      <w:pPr>
        <w:pBdr>
          <w:top w:val="single" w:color="C9952A" w:sz="8" w:space="6"/>
        </w:pBdr>
        <w:spacing w:before="200"/>
      </w:pPr>
      <w:r>
        <w:rPr>
          <w:rFonts w:ascii="Calibri" w:cs="Calibri" w:eastAsia="Calibri" w:hAnsi="Calibri"/>
          <w:i/>
          <w:iCs/>
          <w:color w:val="6B7B8D"/>
          <w:sz w:val="17"/>
          <w:szCs w:val="17"/>
        </w:rPr>
        <w:t xml:space="preserve">Applies the standing Simulacrum conventions: Algorithms to Live By lenses (§10), admin-configurable thresholds, 9-char alphanumeric PKs, the Midnight Gold theme, and full audit of cross-user access.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B8D"/>
        <w:sz w:val="16"/>
        <w:szCs w:val="16"/>
      </w:rPr>
      <w:t xml:space="preserve">Page </w:t>
    </w:r>
    <w:r>
      <w:rPr>
        <w:rFonts w:ascii="Calibri" w:cs="Calibri" w:eastAsia="Calibri" w:hAnsi="Calibri"/>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4"/>
      </w:pBdr>
      <w:jc w:val="right"/>
    </w:pPr>
    <w:r>
      <w:rPr>
        <w:rFonts w:ascii="Calibri" w:cs="Calibri" w:eastAsia="Calibri" w:hAnsi="Calibri"/>
        <w:color w:val="6B7B8D"/>
        <w:sz w:val="15"/>
        <w:szCs w:val="15"/>
      </w:rPr>
      <w:t xml:space="preserve">PRD-SIM-OBS-001 · Agent Observability &amp; Governance · Simulacrum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95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A3557"/>
      <w:sz w:val="26"/>
      <w:szCs w:val="26"/>
    </w:rPr>
  </w:style>
  <w:style w:type="paragraph" w:styleId="Heading2">
    <w:name w:val="Heading 2"/>
    <w:basedOn w:val="Normal"/>
    <w:next w:val="Normal"/>
    <w:qFormat/>
    <w:pPr>
      <w:spacing w:after="60" w:before="180"/>
      <w:outlineLvl w:val="1"/>
    </w:pPr>
    <w:rPr>
      <w:rFonts w:ascii="Calibri" w:cs="Calibri" w:eastAsia="Calibri" w:hAnsi="Calibri"/>
      <w:b/>
      <w:bCs/>
      <w:color w:val="1A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PRD-SIM-OBS-001 — Agent Observability &amp; Governance</dc:title>
  <dc:creator>Jean M. Delphonse</dc:creator>
  <cp:lastModifiedBy>Un-named</cp:lastModifiedBy>
  <cp:revision>1</cp:revision>
  <dcterms:created xsi:type="dcterms:W3CDTF">2026-09-23T17:45:56.314Z</dcterms:created>
  <dcterms:modified xsi:type="dcterms:W3CDTF">2026-09-23T17:45:56.315Z</dcterms:modified>
</cp:coreProperties>
</file>

<file path=docProps/custom.xml><?xml version="1.0" encoding="utf-8"?>
<Properties xmlns="http://schemas.openxmlformats.org/officeDocument/2006/custom-properties" xmlns:vt="http://schemas.openxmlformats.org/officeDocument/2006/docPropsVTypes"/>
</file>