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160"/>
        <w:jc w:val="center"/>
      </w:pPr>
      <w:r>
        <w:rPr>
          <w:rFonts w:ascii="Arial" w:cs="Arial" w:eastAsia="Arial" w:hAnsi="Arial"/>
          <w:b/>
          <w:bCs/>
          <w:caps/>
          <w:color w:val="2E6DB4"/>
          <w:sz w:val="20"/>
          <w:szCs w:val="20"/>
        </w:rPr>
        <w:t xml:space="preserve">PRODUCT REQUIREMENTS DOCUMENT</w:t>
      </w:r>
    </w:p>
    <w:p>
      <w:pPr>
        <w:spacing w:after="200"/>
        <w:jc w:val="center"/>
      </w:pPr>
      <w:r>
        <w:rPr>
          <w:rFonts w:ascii="Arial" w:cs="Arial" w:eastAsia="Arial" w:hAnsi="Arial"/>
          <w:b/>
          <w:bCs/>
          <w:color w:val="1B3A6B"/>
          <w:sz w:val="64"/>
          <w:szCs w:val="64"/>
        </w:rPr>
        <w:t xml:space="preserve">Simulacrum</w:t>
      </w:r>
    </w:p>
    <w:p>
      <w:pPr>
        <w:spacing w:after="400"/>
        <w:jc w:val="center"/>
      </w:pPr>
      <w:r>
        <w:rPr>
          <w:rFonts w:ascii="Arial" w:cs="Arial" w:eastAsia="Arial" w:hAnsi="Arial"/>
          <w:color w:val="2E6DB4"/>
          <w:sz w:val="32"/>
          <w:szCs w:val="32"/>
        </w:rPr>
        <w:t xml:space="preserve">AI-Powered Career Wealth Simulation Platform</w:t>
      </w:r>
    </w:p>
    <w:p>
      <w:pPr>
        <w:pBdr>
          <w:bottom w:val="single" w:color="2E6DB4" w:sz="4" w:space="1"/>
        </w:pBdr>
        <w:spacing w:after="80" w:before="80"/>
      </w:pPr>
      <w:r>
        <w:t xml:space="preserve"/>
      </w:r>
    </w:p>
    <w:p>
      <w:pPr>
        <w:spacing w:after="400"/>
      </w:pPr>
      <w:r>
        <w:t xml:space="preserve"/>
      </w:r>
    </w:p>
    <w:p>
      <w:pPr>
        <w:spacing w:after="120"/>
        <w:jc w:val="center"/>
      </w:pPr>
      <w:r>
        <w:rPr>
          <w:rFonts w:ascii="Arial" w:cs="Arial" w:eastAsia="Arial" w:hAnsi="Arial"/>
          <w:i/>
          <w:iCs/>
          <w:color w:val="444444"/>
          <w:sz w:val="24"/>
          <w:szCs w:val="24"/>
        </w:rPr>
        <w:t xml:space="preserve">Turn your resume into autonomous income-generating digital simulations of yourself</w:t>
      </w:r>
    </w:p>
    <w:p>
      <w:pPr>
        <w:spacing w:after="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b/>
                <w:bCs/>
                <w:color w:val="1B3A6B"/>
                <w:sz w:val="20"/>
                <w:szCs w:val="20"/>
              </w:rPr>
              <w:t xml:space="preserve">Version</w:t>
            </w:r>
          </w:p>
        </w:tc>
        <w:tc>
          <w:tcPr>
            <w:tcW w:type="dxa" w:w="4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color w:val="444444"/>
                <w:sz w:val="20"/>
                <w:szCs w:val="20"/>
              </w:rPr>
              <w:t xml:space="preserve">1.0 — Final</w:t>
            </w:r>
          </w:p>
        </w:tc>
      </w:tr>
      <w:tr>
        <w:tc>
          <w:tcPr>
            <w:tcW w:type="dxa" w:w="2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Status</w:t>
            </w:r>
          </w:p>
        </w:tc>
        <w:tc>
          <w:tcPr>
            <w:tcW w:type="dxa" w:w="4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Approved for Engineering</w:t>
            </w:r>
          </w:p>
        </w:tc>
      </w:tr>
      <w:tr>
        <w:tc>
          <w:tcPr>
            <w:tcW w:type="dxa" w:w="2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b/>
                <w:bCs/>
                <w:color w:val="1B3A6B"/>
                <w:sz w:val="20"/>
                <w:szCs w:val="20"/>
              </w:rPr>
              <w:t xml:space="preserve">Stack</w:t>
            </w:r>
          </w:p>
        </w:tc>
        <w:tc>
          <w:tcPr>
            <w:tcW w:type="dxa" w:w="4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color w:val="444444"/>
                <w:sz w:val="20"/>
                <w:szCs w:val="20"/>
              </w:rPr>
              <w:t xml:space="preserve">Flask · SQLAlchemy · MySQL · Python · Claude API</w:t>
            </w:r>
          </w:p>
        </w:tc>
      </w:tr>
      <w:tr>
        <w:tc>
          <w:tcPr>
            <w:tcW w:type="dxa" w:w="2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Hosting</w:t>
            </w:r>
          </w:p>
        </w:tc>
        <w:tc>
          <w:tcPr>
            <w:tcW w:type="dxa" w:w="4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GoDaddy Managed Server</w:t>
            </w:r>
          </w:p>
        </w:tc>
      </w:tr>
      <w:tr>
        <w:tc>
          <w:tcPr>
            <w:tcW w:type="dxa" w:w="2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b/>
                <w:bCs/>
                <w:color w:val="1B3A6B"/>
                <w:sz w:val="20"/>
                <w:szCs w:val="20"/>
              </w:rPr>
              <w:t xml:space="preserve">Author</w:t>
            </w:r>
          </w:p>
        </w:tc>
        <w:tc>
          <w:tcPr>
            <w:tcW w:type="dxa" w:w="4000"/>
            <w:tcBorders>
              <w:top w:val="single" w:color="D6E4F5" w:sz="1"/>
              <w:left w:val="single" w:color="D6E4F5" w:sz="1"/>
              <w:bottom w:val="single" w:color="D6E4F5" w:sz="1"/>
              <w:right w:val="single" w:color="D6E4F5" w:sz="1"/>
            </w:tcBorders>
            <w:shd w:fill="D6E4F5" w:val="clear"/>
            <w:tcMar>
              <w:top w:type="dxa" w:w="60"/>
              <w:left w:type="dxa" w:w="120"/>
              <w:bottom w:type="dxa" w:w="60"/>
              <w:right w:type="dxa" w:w="120"/>
            </w:tcMar>
          </w:tcPr>
          <w:p>
            <w:r>
              <w:rPr>
                <w:rFonts w:ascii="Arial" w:cs="Arial" w:eastAsia="Arial" w:hAnsi="Arial"/>
                <w:color w:val="444444"/>
                <w:sz w:val="20"/>
                <w:szCs w:val="20"/>
              </w:rPr>
              <w:t xml:space="preserve">JD / PrezentEnergy Ventures</w:t>
            </w:r>
          </w:p>
        </w:tc>
      </w:tr>
      <w:tr>
        <w:tc>
          <w:tcPr>
            <w:tcW w:type="dxa" w:w="2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Date</w:t>
            </w:r>
          </w:p>
        </w:tc>
        <w:tc>
          <w:tcPr>
            <w:tcW w:type="dxa" w:w="4000"/>
            <w:tcBorders>
              <w:top w:val="single" w:color="D6E4F5" w:sz="1"/>
              <w:left w:val="single" w:color="D6E4F5" w:sz="1"/>
              <w:bottom w:val="single" w:color="D6E4F5" w:sz="1"/>
              <w:right w:val="single" w:color="D6E4F5"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April 2026</w:t>
            </w:r>
          </w:p>
        </w:tc>
      </w:tr>
    </w:tbl>
    <w:p>
      <w:r>
        <w:br w:type="page"/>
      </w:r>
    </w:p>
    <w:p>
      <w:pPr>
        <w:pStyle w:val="Heading1"/>
      </w:pPr>
      <w:r>
        <w:t xml:space="preserve">1. Executive Summary</w:t>
      </w:r>
    </w:p>
    <w:p>
      <w:pPr>
        <w:spacing w:after="120"/>
      </w:pPr>
      <w:r>
        <w:rPr>
          <w:rFonts w:ascii="Arial" w:cs="Arial" w:eastAsia="Arial" w:hAnsi="Arial"/>
          <w:color w:val="444444"/>
          <w:sz w:val="22"/>
          <w:szCs w:val="22"/>
        </w:rPr>
        <w:t xml:space="preserve">Simulacrum is a web application that allows authenticated users to upload their professional resume and have an AI analyze their career history to identify zones of excellence, extractable intellectual property, and monetizable expertise. The platform then generates one or more Simulations — structured, AI-powered blueprints that map a user's real work deliverables onto a five-layer wealth automation framework, producing a personalized roadmap for turning career capital into continuous residual income.</w:t>
      </w:r>
    </w:p>
    <w:p>
      <w:pPr>
        <w:spacing w:after="80"/>
      </w:pPr>
      <w:r>
        <w:t xml:space="preserve"/>
      </w:r>
    </w:p>
    <w:p>
      <w:pPr>
        <w:spacing w:after="120"/>
      </w:pPr>
      <w:r>
        <w:rPr>
          <w:rFonts w:ascii="Arial" w:cs="Arial" w:eastAsia="Arial" w:hAnsi="Arial"/>
          <w:color w:val="444444"/>
          <w:sz w:val="22"/>
          <w:szCs w:val="22"/>
        </w:rPr>
        <w:t xml:space="preserve">Each Simulation is a living object that users can iterate on, evolving from a simple 1:1 active income model all the way to a fully automated Layer 5 wealth engine with SaaS products, licensing deals, and passive investment vehicles — all anchored to verifiable professional history captured in the resume or LinkedIn profile.</w:t>
      </w:r>
    </w:p>
    <w:p>
      <w:pPr>
        <w:spacing w:after="120"/>
      </w:pPr>
      <w:r>
        <w:t xml:space="preserve"/>
      </w:r>
    </w:p>
    <w:p>
      <w:pPr>
        <w:pStyle w:val="Heading2"/>
      </w:pPr>
      <w:r>
        <w:t xml:space="preserve">Key Decisions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Area</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 Streaming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Server-Sent Events (SSE) — layers stream live as Claude generates them, layer by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Monetization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Per-usage fee, admin-configurable. Default price at launch is $10.00 per Simulation. Admin can update the price at any time via the Admin Panel without redeployment. Price is stored in platform_settings and read dynamically at checkout.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Collaboration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Users may share and collaborate on Simulations generated from prior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LinkedIn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profile crawler integrated as primary input alternative to resume upload.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AI Reasoning Transparency</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Claude's reasoning is surfaced for every Income Stream recommendation in the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Fintech Partnership (Layer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General guidance by default. Fintech API (e.g., Plaid, Alpaca) enabled via admin on/off toggle.</w:t>
            </w:r>
          </w:p>
        </w:tc>
      </w:tr>
    </w:tbl>
    <w:p>
      <w:pPr>
        <w:spacing w:after="160"/>
      </w:pPr>
      <w:r>
        <w:t xml:space="preserve"/>
      </w:r>
    </w:p>
    <w:p>
      <w:pPr>
        <w:pStyle w:val="Heading2"/>
      </w:pPr>
      <w:r>
        <w:t xml:space="preserve">Success Metrics — 90-Day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User registrations</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500</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Organic + LinkedIn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Simulations generated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800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1.6 avg per user</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Revenue (@ $10/Simulation)</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$8,000</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Break-even 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Resume / LinkedIn uploads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600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80% of registered users</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Avg. time to first Simulation</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&lt; 8 min</w:t>
            </w:r>
          </w:p>
        </w:tc>
        <w:tc>
          <w:tcPr>
            <w:tcW w:type="dxa" w:w="2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Upload to streaming results</w:t>
            </w:r>
          </w:p>
        </w:tc>
      </w:tr>
    </w:tbl>
    <w:p>
      <w:r>
        <w:br w:type="page"/>
      </w:r>
    </w:p>
    <w:p>
      <w:pPr>
        <w:pStyle w:val="Heading1"/>
      </w:pPr>
      <w:r>
        <w:t xml:space="preserve">2. Problem Statement &amp; Vision</w:t>
      </w:r>
    </w:p>
    <w:p>
      <w:pPr>
        <w:pStyle w:val="Heading2"/>
      </w:pPr>
      <w:r>
        <w:t xml:space="preserve">The Problem</w:t>
      </w:r>
    </w:p>
    <w:p>
      <w:pPr>
        <w:spacing w:after="120"/>
      </w:pPr>
      <w:r>
        <w:rPr>
          <w:rFonts w:ascii="Arial" w:cs="Arial" w:eastAsia="Arial" w:hAnsi="Arial"/>
          <w:color w:val="444444"/>
          <w:sz w:val="22"/>
          <w:szCs w:val="22"/>
        </w:rPr>
        <w:t xml:space="preserve">Most professionals accumulate 10–30 years of experience that never compounds beyond their next salary negotiation. Their intellectual property — battle-tested frameworks, domain knowledge, repeatable methodologies — is locked inside their employment history, invisible even to themselves. A life career coach can unlock this, but coaching is expensive, time-intensive, and does not scale.</w:t>
      </w:r>
    </w:p>
    <w:p>
      <w:pPr>
        <w:spacing w:after="80"/>
      </w:pPr>
      <w:r>
        <w:t xml:space="preserve"/>
      </w:r>
    </w:p>
    <w:p>
      <w:pPr>
        <w:pStyle w:val="Heading2"/>
      </w:pPr>
      <w:r>
        <w:t xml:space="preserve">The Vision</w:t>
      </w:r>
    </w:p>
    <w:p>
      <w:pPr>
        <w:spacing w:after="120"/>
      </w:pPr>
      <w:r>
        <w:rPr>
          <w:rFonts w:ascii="Arial" w:cs="Arial" w:eastAsia="Arial" w:hAnsi="Arial"/>
          <w:color w:val="444444"/>
          <w:sz w:val="22"/>
          <w:szCs w:val="22"/>
        </w:rPr>
        <w:t xml:space="preserve">Simulacrum democratizes the career coaching process and adds a wealth-engineering layer on top. By combining resume parsing, LinkedIn profile crawling, AI-powered expertise extraction, and a structured five-layer income model, the platform helps any professional answer three questions:</w:t>
      </w:r>
    </w:p>
    <w:p>
      <w:pPr>
        <w:pStyle w:val="ListParagraph"/>
        <w:numPr>
          <w:ilvl w:val="0"/>
          <w:numId w:val="2"/>
        </w:numPr>
        <w:spacing w:after="80"/>
      </w:pPr>
      <w:r>
        <w:rPr>
          <w:rFonts w:ascii="Arial" w:cs="Arial" w:eastAsia="Arial" w:hAnsi="Arial"/>
          <w:color w:val="444444"/>
          <w:sz w:val="22"/>
          <w:szCs w:val="22"/>
        </w:rPr>
        <w:t xml:space="preserve">What are you excellent at — and what real deliverables prove it?</w:t>
      </w:r>
    </w:p>
    <w:p>
      <w:pPr>
        <w:pStyle w:val="ListParagraph"/>
        <w:numPr>
          <w:ilvl w:val="0"/>
          <w:numId w:val="2"/>
        </w:numPr>
        <w:spacing w:after="80"/>
      </w:pPr>
      <w:r>
        <w:rPr>
          <w:rFonts w:ascii="Arial" w:cs="Arial" w:eastAsia="Arial" w:hAnsi="Arial"/>
          <w:color w:val="444444"/>
          <w:sz w:val="22"/>
          <w:szCs w:val="22"/>
        </w:rPr>
        <w:t xml:space="preserve">How is that excellence packaged into sellable products?</w:t>
      </w:r>
    </w:p>
    <w:p>
      <w:pPr>
        <w:pStyle w:val="ListParagraph"/>
        <w:numPr>
          <w:ilvl w:val="0"/>
          <w:numId w:val="2"/>
        </w:numPr>
        <w:spacing w:after="80"/>
      </w:pPr>
      <w:r>
        <w:rPr>
          <w:rFonts w:ascii="Arial" w:cs="Arial" w:eastAsia="Arial" w:hAnsi="Arial"/>
          <w:color w:val="444444"/>
          <w:sz w:val="22"/>
          <w:szCs w:val="22"/>
        </w:rPr>
        <w:t xml:space="preserve">How do those products eventually run without you?</w:t>
      </w:r>
    </w:p>
    <w:p>
      <w:pPr>
        <w:spacing w:after="120"/>
      </w:pPr>
      <w:r>
        <w:t xml:space="preserve"/>
      </w:r>
    </w:p>
    <w:p>
      <w:pPr>
        <w:pStyle w:val="Heading2"/>
      </w:pPr>
      <w:r>
        <w:t xml:space="preserve">Strategic Positioning</w:t>
      </w:r>
    </w:p>
    <w:p>
      <w:pPr>
        <w:spacing w:after="120"/>
      </w:pPr>
      <w:r>
        <w:rPr>
          <w:rFonts w:ascii="Arial" w:cs="Arial" w:eastAsia="Arial" w:hAnsi="Arial"/>
          <w:color w:val="444444"/>
          <w:sz w:val="22"/>
          <w:szCs w:val="22"/>
        </w:rPr>
        <w:t xml:space="preserve">Simulacrum sits at the intersection of career technology, AI coaching, and wealth strategy. Unlike resume builders or job boards, it is not about finding the next role. It is about converting the totality of a professional's career into a compounding economic engine.</w:t>
      </w:r>
    </w:p>
    <w:p>
      <w:r>
        <w:br w:type="page"/>
      </w:r>
    </w:p>
    <w:p>
      <w:pPr>
        <w:pStyle w:val="Heading1"/>
      </w:pPr>
      <w:r>
        <w:t xml:space="preserve">3. Core Concepts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complete wealth-building blueprint generated for a user from their resume or LinkedIn profile and a chosen Expertise Zone. One user may create multiple Simulations for different career verticals. Each Simulation is independently charged at the current admin-configured price (default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Expertise 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discrete area of professional strength extracted by the AI — e.g., 'Enterprise Data Pipeline Architecture' or 'B2B SaaS Go-to-Market.' Grounded in verifiable Deliverables.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Deliverable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real, named output from the user's career history used as AI evidence for an Expertise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of five income tiers in a Simulation, ranging from active 1:1 work (Layer 1) to fully automated residual systems (Layer 5).</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Income Stream</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specific monetizable product or service within a Layer, e.g., 'Data Architecture Workshop' or 'AI Audit SaaS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AI Reasoning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Claude's explicit explanation of why a specific Income Stream was recommended for this user, surfaced inline in the UI alongside each recommendation.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Collaboration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ability for a user to share a Simulation with one or more collaborators who can view, comment on, or co-edit layers, seeded from a prior Simulation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LinkedIn Crawl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automated scrape of the user's public LinkedIn profile to extract work history, roles, and achievements as an alternative to resume upload.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Automation Blueprint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Layer 4 and Layer 5 plan detailing tools, funnels, platforms, and investment vehicles the user should build to achieve residual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Fintech Toggle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admin-controlled on/off flag that enables or disables live fintech API integration (Plaid, Alpaca, etc.) for Layer 5 wealth deployment recommendations.</w:t>
            </w:r>
          </w:p>
        </w:tc>
      </w:tr>
    </w:tbl>
    <w:p>
      <w:r>
        <w:br w:type="page"/>
      </w:r>
    </w:p>
    <w:p>
      <w:pPr>
        <w:pStyle w:val="Heading1"/>
      </w:pPr>
      <w: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2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c>
          <w:tcPr>
            <w:tcW w:type="dxa" w:w="2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 Use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 — Senior IC</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15+ years experience. Knows they are undermonetized.</w:t>
            </w:r>
          </w:p>
        </w:tc>
        <w:tc>
          <w:tcPr>
            <w:tcW w:type="dxa" w:w="2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Convert expertise to consulting + courses + passive income.</w:t>
            </w:r>
          </w:p>
        </w:tc>
        <w:tc>
          <w:tcPr>
            <w:tcW w:type="dxa" w:w="2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5-layer Simulation with LinkedIn crawl, AI reasoning surfaced.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 — Career Changer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Pivoting industries. Resume spans multiple domains.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Understand how transferable skills map to new revenue streams.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Multiple Simulations from same resume, different Expertise Zones.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 — Entrepreneur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Already runs a business. Wants to productize their method.</w:t>
            </w:r>
          </w:p>
        </w:tc>
        <w:tc>
          <w:tcPr>
            <w:tcW w:type="dxa" w:w="2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License IP or build SaaS around methodology.</w:t>
            </w:r>
          </w:p>
        </w:tc>
        <w:tc>
          <w:tcPr>
            <w:tcW w:type="dxa" w:w="2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Layer 3–5 depth, Collaboration with co-founder, Fintech Toggle.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 — New Graduate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Limited history. Wants to plan from Layer 1 with a roadmap.</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Start earning actively while building toward Layer 3 products.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upload, single Simulation, AI reasoning as learning tool.</w:t>
            </w:r>
          </w:p>
        </w:tc>
      </w:tr>
    </w:tbl>
    <w:p>
      <w:r>
        <w:br w:type="page"/>
      </w:r>
    </w:p>
    <w:p>
      <w:pPr>
        <w:pStyle w:val="Heading1"/>
      </w:pPr>
      <w:r>
        <w:t xml:space="preserve">5. Functional Requirements</w:t>
      </w:r>
    </w:p>
    <w:p>
      <w:pPr>
        <w:pStyle w:val="Heading2"/>
      </w:pPr>
      <w:r>
        <w:t xml:space="preserve">5.1 Authentication &amp; User Management</w:t>
      </w:r>
    </w:p>
    <w:p>
      <w:pPr>
        <w:spacing w:after="100"/>
      </w:pPr>
      <w:r>
        <w:rPr>
          <w:rFonts w:ascii="Arial" w:cs="Arial" w:eastAsia="Arial" w:hAnsi="Arial"/>
          <w:b/>
          <w:bCs/>
          <w:color w:val="1B3A6B"/>
          <w:sz w:val="22"/>
          <w:szCs w:val="22"/>
        </w:rPr>
        <w:t xml:space="preserve">FR-AUTH-01: </w:t>
      </w:r>
      <w:r>
        <w:rPr>
          <w:rFonts w:ascii="Arial" w:cs="Arial" w:eastAsia="Arial" w:hAnsi="Arial"/>
          <w:color w:val="444444"/>
          <w:sz w:val="22"/>
          <w:szCs w:val="22"/>
        </w:rPr>
        <w:t xml:space="preserve">Email and password registration with Flask-Login and Bcrypt hashing (cost factor 12+).</w:t>
      </w:r>
    </w:p>
    <w:p>
      <w:pPr>
        <w:spacing w:after="100"/>
      </w:pPr>
      <w:r>
        <w:rPr>
          <w:rFonts w:ascii="Arial" w:cs="Arial" w:eastAsia="Arial" w:hAnsi="Arial"/>
          <w:b/>
          <w:bCs/>
          <w:color w:val="1B3A6B"/>
          <w:sz w:val="22"/>
          <w:szCs w:val="22"/>
        </w:rPr>
        <w:t xml:space="preserve">FR-AUTH-02: </w:t>
      </w:r>
      <w:r>
        <w:rPr>
          <w:rFonts w:ascii="Arial" w:cs="Arial" w:eastAsia="Arial" w:hAnsi="Arial"/>
          <w:color w:val="444444"/>
          <w:sz w:val="22"/>
          <w:szCs w:val="22"/>
        </w:rPr>
        <w:t xml:space="preserve">Email verification required before first use. Password reset via tokenized email link (24-hour expiry).</w:t>
      </w:r>
    </w:p>
    <w:p>
      <w:pPr>
        <w:spacing w:after="100"/>
      </w:pPr>
      <w:r>
        <w:rPr>
          <w:rFonts w:ascii="Arial" w:cs="Arial" w:eastAsia="Arial" w:hAnsi="Arial"/>
          <w:b/>
          <w:bCs/>
          <w:color w:val="1B3A6B"/>
          <w:sz w:val="22"/>
          <w:szCs w:val="22"/>
        </w:rPr>
        <w:t xml:space="preserve">FR-AUTH-03: </w:t>
      </w:r>
      <w:r>
        <w:rPr>
          <w:rFonts w:ascii="Arial" w:cs="Arial" w:eastAsia="Arial" w:hAnsi="Arial"/>
          <w:color w:val="444444"/>
          <w:sz w:val="22"/>
          <w:szCs w:val="22"/>
        </w:rPr>
        <w:t xml:space="preserve">Optional Google OAuth via Flask-Dance. JWT tokens for session management with 7-day expiry.</w:t>
      </w:r>
    </w:p>
    <w:p>
      <w:pPr>
        <w:spacing w:after="100"/>
      </w:pPr>
      <w:r>
        <w:rPr>
          <w:rFonts w:ascii="Arial" w:cs="Arial" w:eastAsia="Arial" w:hAnsi="Arial"/>
          <w:b/>
          <w:bCs/>
          <w:color w:val="1B3A6B"/>
          <w:sz w:val="22"/>
          <w:szCs w:val="22"/>
        </w:rPr>
        <w:t xml:space="preserve">FR-AUTH-04: </w:t>
      </w:r>
      <w:r>
        <w:rPr>
          <w:rFonts w:ascii="Arial" w:cs="Arial" w:eastAsia="Arial" w:hAnsi="Arial"/>
          <w:color w:val="444444"/>
          <w:sz w:val="22"/>
          <w:szCs w:val="22"/>
        </w:rPr>
        <w:t xml:space="preserve">User profile stores full name, email, created_at, simulation_count, and total_spend.</w:t>
      </w:r>
    </w:p>
    <w:p>
      <w:pPr>
        <w:spacing w:after="120"/>
      </w:pPr>
      <w:r>
        <w:t xml:space="preserve"/>
      </w:r>
    </w:p>
    <w:p>
      <w:pPr>
        <w:pStyle w:val="Heading2"/>
      </w:pPr>
      <w:r>
        <w:t xml:space="preserve">5.2 Monetization — Per-Usage Fee</w:t>
      </w:r>
    </w:p>
    <w:p>
      <w:pPr>
        <w:spacing w:after="100"/>
      </w:pPr>
      <w:r>
        <w:rPr>
          <w:rFonts w:ascii="Arial" w:cs="Arial" w:eastAsia="Arial" w:hAnsi="Arial"/>
          <w:b/>
          <w:bCs/>
          <w:color w:val="1B3A6B"/>
          <w:sz w:val="22"/>
          <w:szCs w:val="22"/>
        </w:rPr>
        <w:t xml:space="preserve">FR-MON-01: </w:t>
      </w:r>
      <w:r>
        <w:rPr>
          <w:rFonts w:ascii="Arial" w:cs="Arial" w:eastAsia="Arial" w:hAnsi="Arial"/>
          <w:color w:val="444444"/>
          <w:sz w:val="22"/>
          <w:szCs w:val="22"/>
        </w:rPr>
        <w:t xml:space="preserve">Each Simulation generation is charged at the current configured Simulation price, set by the admin in the platform settings. The default price at launch is $10.00. The price is stored in the platform_settings table under the key 'simulation_price' and is read dynamically at checkout — no redeployment required to change it.</w:t>
      </w:r>
    </w:p>
    <w:p>
      <w:pPr>
        <w:spacing w:after="100"/>
      </w:pPr>
      <w:r>
        <w:rPr>
          <w:rFonts w:ascii="Arial" w:cs="Arial" w:eastAsia="Arial" w:hAnsi="Arial"/>
          <w:b/>
          <w:bCs/>
          <w:color w:val="1B3A6B"/>
          <w:sz w:val="22"/>
          <w:szCs w:val="22"/>
        </w:rPr>
        <w:t xml:space="preserve">FR-MON-02: </w:t>
      </w:r>
      <w:r>
        <w:rPr>
          <w:rFonts w:ascii="Arial" w:cs="Arial" w:eastAsia="Arial" w:hAnsi="Arial"/>
          <w:color w:val="444444"/>
          <w:sz w:val="22"/>
          <w:szCs w:val="22"/>
        </w:rPr>
        <w:t xml:space="preserve">Admin can update the Simulation price at any time via the Admin Panel. The new price takes effect immediately for all subsequent Simulation creations. In-progress checkouts (Stripe session already opened) honor the price at session creation time.</w:t>
      </w:r>
    </w:p>
    <w:p>
      <w:pPr>
        <w:spacing w:after="100"/>
      </w:pPr>
      <w:r>
        <w:rPr>
          <w:rFonts w:ascii="Arial" w:cs="Arial" w:eastAsia="Arial" w:hAnsi="Arial"/>
          <w:b/>
          <w:bCs/>
          <w:color w:val="1B3A6B"/>
          <w:sz w:val="22"/>
          <w:szCs w:val="22"/>
        </w:rPr>
        <w:t xml:space="preserve">FR-MON-03: </w:t>
      </w:r>
      <w:r>
        <w:rPr>
          <w:rFonts w:ascii="Arial" w:cs="Arial" w:eastAsia="Arial" w:hAnsi="Arial"/>
          <w:color w:val="444444"/>
          <w:sz w:val="22"/>
          <w:szCs w:val="22"/>
        </w:rPr>
        <w:t xml:space="preserve">The Admin Panel displays the current configured price prominently alongside a price history log showing every price change: old value, new value, changed by (admin user_id), and timestamp.</w:t>
      </w:r>
    </w:p>
    <w:p>
      <w:pPr>
        <w:spacing w:after="100"/>
      </w:pPr>
      <w:r>
        <w:rPr>
          <w:rFonts w:ascii="Arial" w:cs="Arial" w:eastAsia="Arial" w:hAnsi="Arial"/>
          <w:b/>
          <w:bCs/>
          <w:color w:val="1B3A6B"/>
          <w:sz w:val="22"/>
          <w:szCs w:val="22"/>
        </w:rPr>
        <w:t xml:space="preserve">FR-MON-04: </w:t>
      </w:r>
      <w:r>
        <w:rPr>
          <w:rFonts w:ascii="Arial" w:cs="Arial" w:eastAsia="Arial" w:hAnsi="Arial"/>
          <w:color w:val="444444"/>
          <w:sz w:val="22"/>
          <w:szCs w:val="22"/>
        </w:rPr>
        <w:t xml:space="preserve">The price shown to the user on the Simulation setup screen, payment confirmation dialog, and invoice is always fetched live from platform_settings — never hardcoded in the frontend. If the price has been changed since the user last visited, a session refresh surfaces the updated price before checkout.</w:t>
      </w:r>
    </w:p>
    <w:p>
      <w:pPr>
        <w:spacing w:after="100"/>
      </w:pPr>
      <w:r>
        <w:rPr>
          <w:rFonts w:ascii="Arial" w:cs="Arial" w:eastAsia="Arial" w:hAnsi="Arial"/>
          <w:b/>
          <w:bCs/>
          <w:color w:val="1B3A6B"/>
          <w:sz w:val="22"/>
          <w:szCs w:val="22"/>
        </w:rPr>
        <w:t xml:space="preserve">FR-MON-05: </w:t>
      </w:r>
      <w:r>
        <w:rPr>
          <w:rFonts w:ascii="Arial" w:cs="Arial" w:eastAsia="Arial" w:hAnsi="Arial"/>
          <w:color w:val="444444"/>
          <w:sz w:val="22"/>
          <w:szCs w:val="22"/>
        </w:rPr>
        <w:t xml:space="preserve">Stripe Checkout integration. User must have a saved payment method or complete checkout before generation begins. The Stripe price object is created dynamically per transaction using the current simulation_price value — no pre-configured Stripe Price ID is used, allowing price changes without Stripe dashboard intervention.</w:t>
      </w:r>
    </w:p>
    <w:p>
      <w:pPr>
        <w:spacing w:after="100"/>
      </w:pPr>
      <w:r>
        <w:rPr>
          <w:rFonts w:ascii="Arial" w:cs="Arial" w:eastAsia="Arial" w:hAnsi="Arial"/>
          <w:b/>
          <w:bCs/>
          <w:color w:val="1B3A6B"/>
          <w:sz w:val="22"/>
          <w:szCs w:val="22"/>
        </w:rPr>
        <w:t xml:space="preserve">FR-MON-06: </w:t>
      </w:r>
      <w:r>
        <w:rPr>
          <w:rFonts w:ascii="Arial" w:cs="Arial" w:eastAsia="Arial" w:hAnsi="Arial"/>
          <w:color w:val="444444"/>
          <w:sz w:val="22"/>
          <w:szCs w:val="22"/>
        </w:rPr>
        <w:t xml:space="preserve">Payment confirmation triggers the Simulation generation job via Celery task queue.</w:t>
      </w:r>
    </w:p>
    <w:p>
      <w:pPr>
        <w:spacing w:after="100"/>
      </w:pPr>
      <w:r>
        <w:rPr>
          <w:rFonts w:ascii="Arial" w:cs="Arial" w:eastAsia="Arial" w:hAnsi="Arial"/>
          <w:b/>
          <w:bCs/>
          <w:color w:val="1B3A6B"/>
          <w:sz w:val="22"/>
          <w:szCs w:val="22"/>
        </w:rPr>
        <w:t xml:space="preserve">FR-MON-07: </w:t>
      </w:r>
      <w:r>
        <w:rPr>
          <w:rFonts w:ascii="Arial" w:cs="Arial" w:eastAsia="Arial" w:hAnsi="Arial"/>
          <w:color w:val="444444"/>
          <w:sz w:val="22"/>
          <w:szCs w:val="22"/>
        </w:rPr>
        <w:t xml:space="preserve">Failed generations (Claude API error after payment) trigger automatic refund via Stripe API within 60 seconds. The refund amount matches the exact amount charged, regardless of any price change that may have occurred between charge and failure.</w:t>
      </w:r>
    </w:p>
    <w:p>
      <w:pPr>
        <w:spacing w:after="100"/>
      </w:pPr>
      <w:r>
        <w:rPr>
          <w:rFonts w:ascii="Arial" w:cs="Arial" w:eastAsia="Arial" w:hAnsi="Arial"/>
          <w:b/>
          <w:bCs/>
          <w:color w:val="1B3A6B"/>
          <w:sz w:val="22"/>
          <w:szCs w:val="22"/>
        </w:rPr>
        <w:t xml:space="preserve">FR-MON-08: </w:t>
      </w:r>
      <w:r>
        <w:rPr>
          <w:rFonts w:ascii="Arial" w:cs="Arial" w:eastAsia="Arial" w:hAnsi="Arial"/>
          <w:color w:val="444444"/>
          <w:sz w:val="22"/>
          <w:szCs w:val="22"/>
        </w:rPr>
        <w:t xml:space="preserve">Invoice emailed automatically for each successful Simulation, showing the price paid at time of purchase. Admin dashboard shows revenue, refund rate, per-user spend, and a price change audit trail.</w:t>
      </w:r>
    </w:p>
    <w:p>
      <w:pPr>
        <w:spacing w:after="120"/>
      </w:pPr>
      <w:r>
        <w:t xml:space="preserve"/>
      </w:r>
    </w:p>
    <w:p>
      <w:pPr>
        <w:pStyle w:val="Heading2"/>
      </w:pPr>
      <w:r>
        <w:t xml:space="preserve">5.3 Resume Management</w:t>
      </w:r>
    </w:p>
    <w:p>
      <w:pPr>
        <w:spacing w:after="100"/>
      </w:pPr>
      <w:r>
        <w:rPr>
          <w:rFonts w:ascii="Arial" w:cs="Arial" w:eastAsia="Arial" w:hAnsi="Arial"/>
          <w:b/>
          <w:bCs/>
          <w:color w:val="1B3A6B"/>
          <w:sz w:val="22"/>
          <w:szCs w:val="22"/>
        </w:rPr>
        <w:t xml:space="preserve">FR-RES-01: </w:t>
      </w:r>
      <w:r>
        <w:rPr>
          <w:rFonts w:ascii="Arial" w:cs="Arial" w:eastAsia="Arial" w:hAnsi="Arial"/>
          <w:color w:val="444444"/>
          <w:sz w:val="22"/>
          <w:szCs w:val="22"/>
        </w:rPr>
        <w:t xml:space="preserve">Accept PDF and DOCX files up to 5 MB. Parse using PyMuPDF (PDF) and python-docx (DOCX).</w:t>
      </w:r>
    </w:p>
    <w:p>
      <w:pPr>
        <w:spacing w:after="100"/>
      </w:pPr>
      <w:r>
        <w:rPr>
          <w:rFonts w:ascii="Arial" w:cs="Arial" w:eastAsia="Arial" w:hAnsi="Arial"/>
          <w:b/>
          <w:bCs/>
          <w:color w:val="1B3A6B"/>
          <w:sz w:val="22"/>
          <w:szCs w:val="22"/>
        </w:rPr>
        <w:t xml:space="preserve">FR-RES-02: </w:t>
      </w:r>
      <w:r>
        <w:rPr>
          <w:rFonts w:ascii="Arial" w:cs="Arial" w:eastAsia="Arial" w:hAnsi="Arial"/>
          <w:color w:val="444444"/>
          <w:sz w:val="22"/>
          <w:szCs w:val="22"/>
        </w:rPr>
        <w:t xml:space="preserve">Store original file on GoDaddy file system. Store parsed text in MySQL. Display parsed text in editable rich-text area for user correction before AI analysis.</w:t>
      </w:r>
    </w:p>
    <w:p>
      <w:pPr>
        <w:spacing w:after="100"/>
      </w:pPr>
      <w:r>
        <w:rPr>
          <w:rFonts w:ascii="Arial" w:cs="Arial" w:eastAsia="Arial" w:hAnsi="Arial"/>
          <w:b/>
          <w:bCs/>
          <w:color w:val="1B3A6B"/>
          <w:sz w:val="22"/>
          <w:szCs w:val="22"/>
        </w:rPr>
        <w:t xml:space="preserve">FR-RES-03: </w:t>
      </w:r>
      <w:r>
        <w:rPr>
          <w:rFonts w:ascii="Arial" w:cs="Arial" w:eastAsia="Arial" w:hAnsi="Arial"/>
          <w:color w:val="444444"/>
          <w:sz w:val="22"/>
          <w:szCs w:val="22"/>
        </w:rPr>
        <w:t xml:space="preserve">Support multiple resumes per user. Each resume labeled with a version name and upload date.</w:t>
      </w:r>
    </w:p>
    <w:p>
      <w:pPr>
        <w:spacing w:after="100"/>
      </w:pPr>
      <w:r>
        <w:rPr>
          <w:rFonts w:ascii="Arial" w:cs="Arial" w:eastAsia="Arial" w:hAnsi="Arial"/>
          <w:b/>
          <w:bCs/>
          <w:color w:val="1B3A6B"/>
          <w:sz w:val="22"/>
          <w:szCs w:val="22"/>
        </w:rPr>
        <w:t xml:space="preserve">FR-RES-04: </w:t>
      </w:r>
      <w:r>
        <w:rPr>
          <w:rFonts w:ascii="Arial" w:cs="Arial" w:eastAsia="Arial" w:hAnsi="Arial"/>
          <w:color w:val="444444"/>
          <w:sz w:val="22"/>
          <w:szCs w:val="22"/>
        </w:rPr>
        <w:t xml:space="preserve">Claude expertise zone extraction cached in Resume.expertise_zones JSON column. Re-called only if parsed_text changes.</w:t>
      </w:r>
    </w:p>
    <w:p>
      <w:pPr>
        <w:spacing w:after="120"/>
      </w:pPr>
      <w:r>
        <w:t xml:space="preserve"/>
      </w:r>
    </w:p>
    <w:p>
      <w:pPr>
        <w:pStyle w:val="Heading2"/>
      </w:pPr>
      <w:r>
        <w:t xml:space="preserve">5.4 LinkedIn Profile Integration</w:t>
      </w:r>
    </w:p>
    <w:p>
      <w:pPr>
        <w:spacing w:after="100"/>
      </w:pPr>
      <w:r>
        <w:rPr>
          <w:rFonts w:ascii="Arial" w:cs="Arial" w:eastAsia="Arial" w:hAnsi="Arial"/>
          <w:b/>
          <w:bCs/>
          <w:color w:val="1B3A6B"/>
          <w:sz w:val="22"/>
          <w:szCs w:val="22"/>
        </w:rPr>
        <w:t xml:space="preserve">FR-LI-01: </w:t>
      </w:r>
      <w:r>
        <w:rPr>
          <w:rFonts w:ascii="Arial" w:cs="Arial" w:eastAsia="Arial" w:hAnsi="Arial"/>
          <w:color w:val="444444"/>
          <w:sz w:val="22"/>
          <w:szCs w:val="22"/>
        </w:rPr>
        <w:t xml:space="preserve">User authenticates with LinkedIn OAuth 2.0. Platform crawls the public profile: work experience, role titles, dates, and listed accomplishments.</w:t>
      </w:r>
    </w:p>
    <w:p>
      <w:pPr>
        <w:spacing w:after="100"/>
      </w:pPr>
      <w:r>
        <w:rPr>
          <w:rFonts w:ascii="Arial" w:cs="Arial" w:eastAsia="Arial" w:hAnsi="Arial"/>
          <w:b/>
          <w:bCs/>
          <w:color w:val="1B3A6B"/>
          <w:sz w:val="22"/>
          <w:szCs w:val="22"/>
        </w:rPr>
        <w:t xml:space="preserve">FR-LI-02: </w:t>
      </w:r>
      <w:r>
        <w:rPr>
          <w:rFonts w:ascii="Arial" w:cs="Arial" w:eastAsia="Arial" w:hAnsi="Arial"/>
          <w:color w:val="444444"/>
          <w:sz w:val="22"/>
          <w:szCs w:val="22"/>
        </w:rPr>
        <w:t xml:space="preserve">Crawled data is normalized into the same parsed_text schema used by resume uploads, enabling identical downstream AI processing.</w:t>
      </w:r>
    </w:p>
    <w:p>
      <w:pPr>
        <w:spacing w:after="100"/>
      </w:pPr>
      <w:r>
        <w:rPr>
          <w:rFonts w:ascii="Arial" w:cs="Arial" w:eastAsia="Arial" w:hAnsi="Arial"/>
          <w:b/>
          <w:bCs/>
          <w:color w:val="1B3A6B"/>
          <w:sz w:val="22"/>
          <w:szCs w:val="22"/>
        </w:rPr>
        <w:t xml:space="preserve">FR-LI-03: </w:t>
      </w:r>
      <w:r>
        <w:rPr>
          <w:rFonts w:ascii="Arial" w:cs="Arial" w:eastAsia="Arial" w:hAnsi="Arial"/>
          <w:color w:val="444444"/>
          <w:sz w:val="22"/>
          <w:szCs w:val="22"/>
        </w:rPr>
        <w:t xml:space="preserve">User can review and edit crawled LinkedIn data before triggering expertise zone extraction — same editable rich-text flow as resume.</w:t>
      </w:r>
    </w:p>
    <w:p>
      <w:pPr>
        <w:spacing w:after="100"/>
      </w:pPr>
      <w:r>
        <w:rPr>
          <w:rFonts w:ascii="Arial" w:cs="Arial" w:eastAsia="Arial" w:hAnsi="Arial"/>
          <w:b/>
          <w:bCs/>
          <w:color w:val="1B3A6B"/>
          <w:sz w:val="22"/>
          <w:szCs w:val="22"/>
        </w:rPr>
        <w:t xml:space="preserve">FR-LI-04: </w:t>
      </w:r>
      <w:r>
        <w:rPr>
          <w:rFonts w:ascii="Arial" w:cs="Arial" w:eastAsia="Arial" w:hAnsi="Arial"/>
          <w:color w:val="444444"/>
          <w:sz w:val="22"/>
          <w:szCs w:val="22"/>
        </w:rPr>
        <w:t xml:space="preserve">LinkedIn data stored as a Resume record with source='linkedin' flag. Treated identically to uploaded resumes for Simulation creation.</w:t>
      </w:r>
    </w:p>
    <w:p>
      <w:pPr>
        <w:spacing w:after="100"/>
      </w:pPr>
      <w:r>
        <w:rPr>
          <w:rFonts w:ascii="Arial" w:cs="Arial" w:eastAsia="Arial" w:hAnsi="Arial"/>
          <w:b/>
          <w:bCs/>
          <w:color w:val="1B3A6B"/>
          <w:sz w:val="22"/>
          <w:szCs w:val="22"/>
        </w:rPr>
        <w:t xml:space="preserve">FR-LI-05: </w:t>
      </w:r>
      <w:r>
        <w:rPr>
          <w:rFonts w:ascii="Arial" w:cs="Arial" w:eastAsia="Arial" w:hAnsi="Arial"/>
          <w:color w:val="444444"/>
          <w:sz w:val="22"/>
          <w:szCs w:val="22"/>
        </w:rPr>
        <w:t xml:space="preserve">Re-sync option allows user to re-crawl their LinkedIn profile to capture profile updates.</w:t>
      </w:r>
    </w:p>
    <w:p>
      <w:pPr>
        <w:spacing w:after="120"/>
      </w:pPr>
      <w:r>
        <w:t xml:space="preserve"/>
      </w:r>
    </w:p>
    <w:p>
      <w:pPr>
        <w:pStyle w:val="Heading2"/>
      </w:pPr>
      <w:r>
        <w:t xml:space="preserve">5.5 Simulation Management</w:t>
      </w:r>
    </w:p>
    <w:p>
      <w:pPr>
        <w:spacing w:after="100"/>
      </w:pPr>
      <w:r>
        <w:rPr>
          <w:rFonts w:ascii="Arial" w:cs="Arial" w:eastAsia="Arial" w:hAnsi="Arial"/>
          <w:b/>
          <w:bCs/>
          <w:color w:val="1B3A6B"/>
          <w:sz w:val="22"/>
          <w:szCs w:val="22"/>
        </w:rPr>
        <w:t xml:space="preserve">FR-SIM-01: </w:t>
      </w:r>
      <w:r>
        <w:rPr>
          <w:rFonts w:ascii="Arial" w:cs="Arial" w:eastAsia="Arial" w:hAnsi="Arial"/>
          <w:color w:val="444444"/>
          <w:sz w:val="22"/>
          <w:szCs w:val="22"/>
        </w:rPr>
        <w:t xml:space="preserve">User selects a resume or LinkedIn profile, optionally provides a focus hint, and chooses an Expertise Zone. Platform displays the current configured Simulation price and charges that amount before generation begins.</w:t>
      </w:r>
    </w:p>
    <w:p>
      <w:pPr>
        <w:spacing w:after="100"/>
      </w:pPr>
      <w:r>
        <w:rPr>
          <w:rFonts w:ascii="Arial" w:cs="Arial" w:eastAsia="Arial" w:hAnsi="Arial"/>
          <w:b/>
          <w:bCs/>
          <w:color w:val="1B3A6B"/>
          <w:sz w:val="22"/>
          <w:szCs w:val="22"/>
        </w:rPr>
        <w:t xml:space="preserve">FR-SIM-02: </w:t>
      </w:r>
      <w:r>
        <w:rPr>
          <w:rFonts w:ascii="Arial" w:cs="Arial" w:eastAsia="Arial" w:hAnsi="Arial"/>
          <w:color w:val="444444"/>
          <w:sz w:val="22"/>
          <w:szCs w:val="22"/>
        </w:rPr>
        <w:t xml:space="preserve">Generation streams via Server-Sent Events (SSE). Each layer appears in the UI as Claude completes it — users see the wealth pyramid populate in real time.</w:t>
      </w:r>
    </w:p>
    <w:p>
      <w:pPr>
        <w:spacing w:after="100"/>
      </w:pPr>
      <w:r>
        <w:rPr>
          <w:rFonts w:ascii="Arial" w:cs="Arial" w:eastAsia="Arial" w:hAnsi="Arial"/>
          <w:b/>
          <w:bCs/>
          <w:color w:val="1B3A6B"/>
          <w:sz w:val="22"/>
          <w:szCs w:val="22"/>
        </w:rPr>
        <w:t xml:space="preserve">FR-SIM-03: </w:t>
      </w:r>
      <w:r>
        <w:rPr>
          <w:rFonts w:ascii="Arial" w:cs="Arial" w:eastAsia="Arial" w:hAnsi="Arial"/>
          <w:color w:val="444444"/>
          <w:sz w:val="22"/>
          <w:szCs w:val="22"/>
        </w:rPr>
        <w:t xml:space="preserve">Each Income Stream recommendation is displayed alongside Claude's AI reasoning — a 2–3 sentence explanation of why this stream was chosen for this user's specific background.</w:t>
      </w:r>
    </w:p>
    <w:p>
      <w:pPr>
        <w:spacing w:after="100"/>
      </w:pPr>
      <w:r>
        <w:rPr>
          <w:rFonts w:ascii="Arial" w:cs="Arial" w:eastAsia="Arial" w:hAnsi="Arial"/>
          <w:b/>
          <w:bCs/>
          <w:color w:val="1B3A6B"/>
          <w:sz w:val="22"/>
          <w:szCs w:val="22"/>
        </w:rPr>
        <w:t xml:space="preserve">FR-SIM-04: </w:t>
      </w:r>
      <w:r>
        <w:rPr>
          <w:rFonts w:ascii="Arial" w:cs="Arial" w:eastAsia="Arial" w:hAnsi="Arial"/>
          <w:color w:val="444444"/>
          <w:sz w:val="22"/>
          <w:szCs w:val="22"/>
        </w:rPr>
        <w:t xml:space="preserve">Users can refine any individual Layer with a new constraint. Regeneration of a single layer is free (no additional charge).</w:t>
      </w:r>
    </w:p>
    <w:p>
      <w:pPr>
        <w:spacing w:after="100"/>
      </w:pPr>
      <w:r>
        <w:rPr>
          <w:rFonts w:ascii="Arial" w:cs="Arial" w:eastAsia="Arial" w:hAnsi="Arial"/>
          <w:b/>
          <w:bCs/>
          <w:color w:val="1B3A6B"/>
          <w:sz w:val="22"/>
          <w:szCs w:val="22"/>
        </w:rPr>
        <w:t xml:space="preserve">FR-SIM-05: </w:t>
      </w:r>
      <w:r>
        <w:rPr>
          <w:rFonts w:ascii="Arial" w:cs="Arial" w:eastAsia="Arial" w:hAnsi="Arial"/>
          <w:color w:val="444444"/>
          <w:sz w:val="22"/>
          <w:szCs w:val="22"/>
        </w:rPr>
        <w:t xml:space="preserve">Users can create multiple Simulations from the same or different source documents. Each Simulation is independently named and managed on the Dashboard.</w:t>
      </w:r>
    </w:p>
    <w:p>
      <w:pPr>
        <w:spacing w:after="100"/>
      </w:pPr>
      <w:r>
        <w:rPr>
          <w:rFonts w:ascii="Arial" w:cs="Arial" w:eastAsia="Arial" w:hAnsi="Arial"/>
          <w:b/>
          <w:bCs/>
          <w:color w:val="1B3A6B"/>
          <w:sz w:val="22"/>
          <w:szCs w:val="22"/>
        </w:rPr>
        <w:t xml:space="preserve">FR-SIM-06: </w:t>
      </w:r>
      <w:r>
        <w:rPr>
          <w:rFonts w:ascii="Arial" w:cs="Arial" w:eastAsia="Arial" w:hAnsi="Arial"/>
          <w:color w:val="444444"/>
          <w:sz w:val="22"/>
          <w:szCs w:val="22"/>
        </w:rPr>
        <w:t xml:space="preserve">Simulations persist indefinitely. Users can return to view, refine, or share any prior Simulation.</w:t>
      </w:r>
    </w:p>
    <w:p>
      <w:pPr>
        <w:spacing w:after="120"/>
      </w:pPr>
      <w:r>
        <w:t xml:space="preserve"/>
      </w:r>
    </w:p>
    <w:p>
      <w:pPr>
        <w:pStyle w:val="Heading2"/>
      </w:pPr>
      <w:r>
        <w:t xml:space="preserve">5.6 Collaboration</w:t>
      </w:r>
    </w:p>
    <w:p>
      <w:pPr>
        <w:spacing w:after="100"/>
      </w:pPr>
      <w:r>
        <w:rPr>
          <w:rFonts w:ascii="Arial" w:cs="Arial" w:eastAsia="Arial" w:hAnsi="Arial"/>
          <w:b/>
          <w:bCs/>
          <w:color w:val="1B3A6B"/>
          <w:sz w:val="22"/>
          <w:szCs w:val="22"/>
        </w:rPr>
        <w:t xml:space="preserve">FR-COL-01: </w:t>
      </w:r>
      <w:r>
        <w:rPr>
          <w:rFonts w:ascii="Arial" w:cs="Arial" w:eastAsia="Arial" w:hAnsi="Arial"/>
          <w:color w:val="444444"/>
          <w:sz w:val="22"/>
          <w:szCs w:val="22"/>
        </w:rPr>
        <w:t xml:space="preserve">Any Simulation can be shared with collaborators via a unique share link. Collaborators do not pay to view a shared Simulation.</w:t>
      </w:r>
    </w:p>
    <w:p>
      <w:pPr>
        <w:spacing w:after="100"/>
      </w:pPr>
      <w:r>
        <w:rPr>
          <w:rFonts w:ascii="Arial" w:cs="Arial" w:eastAsia="Arial" w:hAnsi="Arial"/>
          <w:b/>
          <w:bCs/>
          <w:color w:val="1B3A6B"/>
          <w:sz w:val="22"/>
          <w:szCs w:val="22"/>
        </w:rPr>
        <w:t xml:space="preserve">FR-COL-02: </w:t>
      </w:r>
      <w:r>
        <w:rPr>
          <w:rFonts w:ascii="Arial" w:cs="Arial" w:eastAsia="Arial" w:hAnsi="Arial"/>
          <w:color w:val="444444"/>
          <w:sz w:val="22"/>
          <w:szCs w:val="22"/>
        </w:rPr>
        <w:t xml:space="preserve">Collaboration can be seeded from a prior Simulation: the owner selects an existing Simulation as a starting point and invites collaborators by email.</w:t>
      </w:r>
    </w:p>
    <w:p>
      <w:pPr>
        <w:spacing w:after="100"/>
      </w:pPr>
      <w:r>
        <w:rPr>
          <w:rFonts w:ascii="Arial" w:cs="Arial" w:eastAsia="Arial" w:hAnsi="Arial"/>
          <w:b/>
          <w:bCs/>
          <w:color w:val="1B3A6B"/>
          <w:sz w:val="22"/>
          <w:szCs w:val="22"/>
        </w:rPr>
        <w:t xml:space="preserve">FR-COL-03: </w:t>
      </w:r>
      <w:r>
        <w:rPr>
          <w:rFonts w:ascii="Arial" w:cs="Arial" w:eastAsia="Arial" w:hAnsi="Arial"/>
          <w:color w:val="444444"/>
          <w:sz w:val="22"/>
          <w:szCs w:val="22"/>
        </w:rPr>
        <w:t xml:space="preserve">Collaborator permission levels: Viewer (read-only), Commenter (can annotate layers), Editor (can trigger layer refinement — owner pays).</w:t>
      </w:r>
    </w:p>
    <w:p>
      <w:pPr>
        <w:spacing w:after="100"/>
      </w:pPr>
      <w:r>
        <w:rPr>
          <w:rFonts w:ascii="Arial" w:cs="Arial" w:eastAsia="Arial" w:hAnsi="Arial"/>
          <w:b/>
          <w:bCs/>
          <w:color w:val="1B3A6B"/>
          <w:sz w:val="22"/>
          <w:szCs w:val="22"/>
        </w:rPr>
        <w:t xml:space="preserve">FR-COL-04: </w:t>
      </w:r>
      <w:r>
        <w:rPr>
          <w:rFonts w:ascii="Arial" w:cs="Arial" w:eastAsia="Arial" w:hAnsi="Arial"/>
          <w:color w:val="444444"/>
          <w:sz w:val="22"/>
          <w:szCs w:val="22"/>
        </w:rPr>
        <w:t xml:space="preserve">Collaboration activity (comments, refinements) logged in an audit trail visible to the Simulation owner.</w:t>
      </w:r>
    </w:p>
    <w:p>
      <w:pPr>
        <w:spacing w:after="100"/>
      </w:pPr>
      <w:r>
        <w:rPr>
          <w:rFonts w:ascii="Arial" w:cs="Arial" w:eastAsia="Arial" w:hAnsi="Arial"/>
          <w:b/>
          <w:bCs/>
          <w:color w:val="1B3A6B"/>
          <w:sz w:val="22"/>
          <w:szCs w:val="22"/>
        </w:rPr>
        <w:t xml:space="preserve">FR-COL-05: </w:t>
      </w:r>
      <w:r>
        <w:rPr>
          <w:rFonts w:ascii="Arial" w:cs="Arial" w:eastAsia="Arial" w:hAnsi="Arial"/>
          <w:color w:val="444444"/>
          <w:sz w:val="22"/>
          <w:szCs w:val="22"/>
        </w:rPr>
        <w:t xml:space="preserve">Owner can revoke access at any time. Shared links expire after 30 days unless renewed.</w:t>
      </w:r>
    </w:p>
    <w:p>
      <w:pPr>
        <w:spacing w:after="120"/>
      </w:pPr>
      <w:r>
        <w:t xml:space="preserve"/>
      </w:r>
    </w:p>
    <w:p>
      <w:pPr>
        <w:pStyle w:val="Heading2"/>
      </w:pPr>
      <w:r>
        <w:t xml:space="preserve">5.7 Fintech Integration Toggle (Layer 5)</w:t>
      </w:r>
    </w:p>
    <w:p>
      <w:pPr>
        <w:spacing w:after="100"/>
      </w:pPr>
      <w:r>
        <w:rPr>
          <w:rFonts w:ascii="Arial" w:cs="Arial" w:eastAsia="Arial" w:hAnsi="Arial"/>
          <w:b/>
          <w:bCs/>
          <w:color w:val="1B3A6B"/>
          <w:sz w:val="22"/>
          <w:szCs w:val="22"/>
        </w:rPr>
        <w:t xml:space="preserve">FR-FIN-01: </w:t>
      </w:r>
      <w:r>
        <w:rPr>
          <w:rFonts w:ascii="Arial" w:cs="Arial" w:eastAsia="Arial" w:hAnsi="Arial"/>
          <w:color w:val="444444"/>
          <w:sz w:val="22"/>
          <w:szCs w:val="22"/>
        </w:rPr>
        <w:t xml:space="preserve">By default, Layer 5 (Wealth Deployment) provides general guidance: recommended asset classes, platforms, and investment strategies tailored to the user's income profile.</w:t>
      </w:r>
    </w:p>
    <w:p>
      <w:pPr>
        <w:spacing w:after="100"/>
      </w:pPr>
      <w:r>
        <w:rPr>
          <w:rFonts w:ascii="Arial" w:cs="Arial" w:eastAsia="Arial" w:hAnsi="Arial"/>
          <w:b/>
          <w:bCs/>
          <w:color w:val="1B3A6B"/>
          <w:sz w:val="22"/>
          <w:szCs w:val="22"/>
        </w:rPr>
        <w:t xml:space="preserve">FR-FIN-02: </w:t>
      </w:r>
      <w:r>
        <w:rPr>
          <w:rFonts w:ascii="Arial" w:cs="Arial" w:eastAsia="Arial" w:hAnsi="Arial"/>
          <w:color w:val="444444"/>
          <w:sz w:val="22"/>
          <w:szCs w:val="22"/>
        </w:rPr>
        <w:t xml:space="preserve">Admin-controlled on/off toggle in the platform settings enables live fintech API integration when activated.</w:t>
      </w:r>
    </w:p>
    <w:p>
      <w:pPr>
        <w:spacing w:after="100"/>
      </w:pPr>
      <w:r>
        <w:rPr>
          <w:rFonts w:ascii="Arial" w:cs="Arial" w:eastAsia="Arial" w:hAnsi="Arial"/>
          <w:b/>
          <w:bCs/>
          <w:color w:val="1B3A6B"/>
          <w:sz w:val="22"/>
          <w:szCs w:val="22"/>
        </w:rPr>
        <w:t xml:space="preserve">FR-FIN-03: </w:t>
      </w:r>
      <w:r>
        <w:rPr>
          <w:rFonts w:ascii="Arial" w:cs="Arial" w:eastAsia="Arial" w:hAnsi="Arial"/>
          <w:color w:val="444444"/>
          <w:sz w:val="22"/>
          <w:szCs w:val="22"/>
        </w:rPr>
        <w:t xml:space="preserve">When enabled, Layer 5 may surface real fund options, brokerage account links, or portfolio suggestions via Plaid, Alpaca, or equivalent API.</w:t>
      </w:r>
    </w:p>
    <w:p>
      <w:pPr>
        <w:spacing w:after="100"/>
      </w:pPr>
      <w:r>
        <w:rPr>
          <w:rFonts w:ascii="Arial" w:cs="Arial" w:eastAsia="Arial" w:hAnsi="Arial"/>
          <w:b/>
          <w:bCs/>
          <w:color w:val="1B3A6B"/>
          <w:sz w:val="22"/>
          <w:szCs w:val="22"/>
        </w:rPr>
        <w:t xml:space="preserve">FR-FIN-04: </w:t>
      </w:r>
      <w:r>
        <w:rPr>
          <w:rFonts w:ascii="Arial" w:cs="Arial" w:eastAsia="Arial" w:hAnsi="Arial"/>
          <w:color w:val="444444"/>
          <w:sz w:val="22"/>
          <w:szCs w:val="22"/>
        </w:rPr>
        <w:t xml:space="preserve">When fintech toggle is off, Layer 5 renders static wealth strategy content only. No external API calls are made.</w:t>
      </w:r>
    </w:p>
    <w:p>
      <w:pPr>
        <w:spacing w:after="100"/>
      </w:pPr>
      <w:r>
        <w:rPr>
          <w:rFonts w:ascii="Arial" w:cs="Arial" w:eastAsia="Arial" w:hAnsi="Arial"/>
          <w:b/>
          <w:bCs/>
          <w:color w:val="1B3A6B"/>
          <w:sz w:val="22"/>
          <w:szCs w:val="22"/>
        </w:rPr>
        <w:t xml:space="preserve">FR-FIN-05: </w:t>
      </w:r>
      <w:r>
        <w:rPr>
          <w:rFonts w:ascii="Arial" w:cs="Arial" w:eastAsia="Arial" w:hAnsi="Arial"/>
          <w:color w:val="444444"/>
          <w:sz w:val="22"/>
          <w:szCs w:val="22"/>
        </w:rPr>
        <w:t xml:space="preserve">Toggle state is stored in a platform_settings table, not hardcoded. Change takes effect immediately without redeployment.</w:t>
      </w:r>
    </w:p>
    <w:p>
      <w:r>
        <w:br w:type="page"/>
      </w:r>
    </w:p>
    <w:p>
      <w:pPr>
        <w:pStyle w:val="Heading1"/>
      </w:pPr>
      <w:r>
        <w:t xml:space="preserve">6. The Simulation Wealth Engine — Five Layers (Agent-Enhanced)</w:t>
      </w:r>
    </w:p>
    <w:p>
      <w:pPr>
        <w:spacing w:after="120"/>
      </w:pPr>
      <w:r>
        <w:rPr>
          <w:rFonts w:ascii="Arial" w:cs="Arial" w:eastAsia="Arial" w:hAnsi="Arial"/>
          <w:color w:val="444444"/>
          <w:sz w:val="22"/>
          <w:szCs w:val="22"/>
        </w:rPr>
        <w:t xml:space="preserve">Every Simulation maps the user's Expertise Zone across five progressive income layers. Each layer is an active agent workspace — not passive guidance. For every layer, the Simulacrum agent plans and executes specific actions on the user's behalf, prompts for any missing information before acting, and displays structured results inline with full artifact storage. The agent operates using the Claude API with tool-use capabilities, a growing set of platform integrations, and a persistent action log per Simulation.</w:t>
      </w:r>
    </w:p>
    <w:p>
      <w:pPr>
        <w:spacing w:after="80"/>
      </w:pPr>
      <w:r>
        <w:t xml:space="preserve"/>
      </w:r>
    </w:p>
    <w:p>
      <w:pPr>
        <w:spacing w:after="120"/>
      </w:pPr>
      <w:r>
        <w:rPr>
          <w:rFonts w:ascii="Arial" w:cs="Arial" w:eastAsia="Arial" w:hAnsi="Arial"/>
          <w:color w:val="444444"/>
          <w:sz w:val="22"/>
          <w:szCs w:val="22"/>
        </w:rPr>
        <w:t xml:space="preserve">Agent execution follows a three-step loop for every action: (1) the agent determines what information it needs and surfaces an inline prompt form if anything is missing, (2) the agent executes the action using available tools or generates a production-ready artifact, and (3) the result is displayed inline with a status badge (Complete / In Progress / Failed), a timestamp, and action-specific controls (Copy, Download, Send, Regenerate). All outputs are stored in the Simulation's artifact store linked to a CHAR(9) action_id.</w:t>
      </w:r>
    </w:p>
    <w:p>
      <w:pPr>
        <w:spacing w:after="80"/>
      </w:pPr>
      <w:r>
        <w:t xml:space="preserve"/>
      </w:r>
    </w:p>
    <w:p>
      <w:pPr>
        <w:spacing w:after="120"/>
      </w:pPr>
      <w:r>
        <w:rPr>
          <w:rFonts w:ascii="Arial" w:cs="Arial" w:eastAsia="Arial" w:hAnsi="Arial"/>
          <w:color w:val="444444"/>
          <w:sz w:val="22"/>
          <w:szCs w:val="22"/>
        </w:rPr>
        <w:t xml:space="preserve">Agent action execution is included in the Simulation fee charged at creation time. There is no per-action charge. Re-execution of individual actions is free and archives prior outputs — it does not overwrite them. A new charge at the current configured price applies only when creating a brand-new Simulation.</w:t>
      </w:r>
    </w:p>
    <w:p>
      <w:pPr>
        <w:spacing w:after="160"/>
      </w:pPr>
      <w:r>
        <w:t xml:space="preserve"/>
      </w:r>
    </w:p>
    <w:p>
      <w:pPr>
        <w:pStyle w:val="Heading2"/>
      </w:pPr>
      <w:r>
        <w:t xml:space="preserve">Layer 1 — Active Income: 1:1 Time-for-Money</w:t>
      </w:r>
    </w:p>
    <w:p>
      <w:pPr>
        <w:spacing w:after="120"/>
      </w:pPr>
      <w:r>
        <w:rPr>
          <w:rFonts w:ascii="Arial" w:cs="Arial" w:eastAsia="Arial" w:hAnsi="Arial"/>
          <w:color w:val="444444"/>
          <w:sz w:val="22"/>
          <w:szCs w:val="22"/>
        </w:rPr>
        <w:t xml:space="preserve">Goal: get the user earning from their expertise as fast as possible. The agent identifies the right buyers, builds the full outreach and positioning arsenal, handles proposal and contract generation, and activates the user's existing network — removing every friction point between expertise and first dollar.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Prompts Required</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Result Displayed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Draft personalized consulting outreach emails to 10 target prospects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industries do you want to target?</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have a LinkedIn connection list or company names?</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preferred engagement model — project, retainer, or hourly?</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 individually tailored outreach emails with subject lines, body copy, and a P.S. referencing each prospect's company. Scrollable list with one-click copy per email. If email integration is connected, sent count and open rate logged in the action 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Execute a cold email campaign to researched target companies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target company size (startup, SMB, mid-market, enterprise)?</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specific pain point or business outcome are you addressing?</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have a list of company names or should the agent research and build the list?</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preferred cold email tool — Apollo, Instantly, Lemlist, or manual send?</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daily send limit?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curated list of 25 target companies researched and matched to the Expertise Zone, with company name, size, industry, identified pain point, and a named decision-maker (sourced via LinkedIn and Apollo). A 3-step cold email sequence per company: Email 1 (cold intro with company-specific hook), Email 2 (follow-up with a relevant insight or case study reference), Email 3 (soft close with a low-friction ask). If Apollo or Instantly is connected, sequences are pushed directly to the campaign. Delivery status, open rate, and reply rate logged per company in the action result panel.</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consulting rate card and capability one-pager</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target hourly or day rate?</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prefer fixed-project or retainer?</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three outcomes do clients most consistently achieve working with you?</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formatted PDF-ready rate card listing service tiers (hourly, project, retainer). A one-pager capability statement with Expertise Zone headline, three outcome bullets drawn from resume Deliverables, and a call-to-action block. Downloadable as PDF and DOCX.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Search and surface active fractional and contract roles matching Expertise Zone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Are you open to remote, hybrid, or on-site?</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minimum acceptable monthly rate?</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Any industries or company types to exclude?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Ranked list of 15–20 active fractional and contract postings from LinkedIn Jobs, Toptal, and Contra — filtered to Expertise Zone, location preference, and rate floor. Each shows role title, company, rate range, fit score, and a one-click 'Draft Application' button.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Optimize LinkedIn headline, About section, and Featured block for inbound consulting leads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Are you currently open to new engagements?</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want the profile to reflect consulting availability, a specific industry focus, or both?</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Rewritten LinkedIn headline (220 chars), About section (2,000 chars), and Featured section copy — anchored to Expertise Zone and calibrated for LinkedIn search algorithms. Displayed with before/after toggle if the agent crawled the existing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Create a public booking page configuration (Calendly or Cal.com)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meeting types do you want to offer (discovery call, paid consultation, project scoping)?</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are your available days and hours?</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paid session rate?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 booking page spec: event type names, durations, descriptions, pricing, confirmation email copy, and intake form questions. Ready to paste into Calendly or Cal.com. Optionally auto-created via Cal.com API if connected.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consulting proposal and Statement of Work (SOW) template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the project scope you most commonly pitch?</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deliverables do you commit to?</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are your standard payment milestones — 50% upfront, 50% on delivery, or phased?</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fully structured consulting proposal (executive summary, scope, deliverables, timeline, investment, terms) and a companion SOW with acceptance criteria, revision rounds, and out-of-scope clause. Both downloadable as DOCX. Merge fields ready for client-specific customization.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consulting agreement template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are your preferred payment terms (net-15, net-30, 50% upfront)?</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want an IP ownership clause, non-solicitation, or confidentiality clause?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plain-English consulting agreement (3–4 pages) with scope, payment terms, IP assignment, confidentiality, termination, and limitation of liability — pre-filled with user's name and preferences. Downloadable as DOCX.</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Activate referral network — draft referral request messages to top 15 contacts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Who are the 3–5 people most likely to refer you (former managers, clients, colleagues)?</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specific type of engagement do you want them to refer?</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Is there a referral incentive you want to offer?</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15 personalized referral request messages (email and LinkedIn DM versions) — each referencing the specific person's relationship with the user and the exact type of client they should refer. A referral tracking table with contact name, message sent date, and follow-up reminder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 social proof and testimonial collection system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have any existing clients or past colleagues who have praised your work?</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platform do you want testimonials displayed on — LinkedIn, personal website, or both?</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Do you want short quotes, long case studies, or video testimonial scripts?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testimonial request email sequence (3 emails per contact), a structured testimonial intake form (problem, solution, outcome, quantified result), and a display copy formatted for LinkedIn recommendations, website hero sections, and proposal inserts. Includes 5 pre-populated testimonial request drafts based on resume Deliverables.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Coach the user on rate negotiation with a scenario-specific script</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rate have you been offered or are you preparing to negotiate?</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the client's company size and budget signals?</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What is your walk-away number?</w:t>
            </w:r>
          </w:p>
          <w:p>
            <w:pPr>
              <w:spacing w:after="60"/>
            </w:pPr>
            <w:r>
              <w:rPr>
                <w:rFonts w:ascii="Arial" w:cs="Arial" w:eastAsia="Arial" w:hAnsi="Arial"/>
                <w:color w:val="1B3A6B"/>
                <w:sz w:val="18"/>
                <w:szCs w:val="18"/>
              </w:rPr>
              <w:t xml:space="preserve">►  </w:t>
            </w:r>
            <w:r>
              <w:rPr>
                <w:rFonts w:ascii="Arial" w:cs="Arial" w:eastAsia="Arial" w:hAnsi="Arial"/>
                <w:color w:val="444444"/>
                <w:sz w:val="19"/>
                <w:szCs w:val="19"/>
              </w:rPr>
              <w:t xml:space="preserve">Have they pushed back on rate before?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negotiation script for the specific scenario: opening positioning statement, three value-justification responses, a counter-offer framework, a concession trade (reduced rate in exchange for longer contract or case study rights), and a 'walk away gracefully' close. Displayed as a step-by-step dialogue guide.</w:t>
            </w:r>
          </w:p>
        </w:tc>
      </w:tr>
    </w:tbl>
    <w:p>
      <w:pPr>
        <w:spacing w:after="160"/>
      </w:pPr>
      <w:r>
        <w:t xml:space="preserve"/>
      </w:r>
    </w:p>
    <w:p>
      <w:pPr>
        <w:pStyle w:val="Heading2"/>
      </w:pPr>
      <w:r>
        <w:t xml:space="preserve">Layer 2 — Leveraged Income: One-to-Many</w:t>
      </w:r>
    </w:p>
    <w:p>
      <w:pPr>
        <w:spacing w:after="120"/>
      </w:pPr>
      <w:r>
        <w:rPr>
          <w:rFonts w:ascii="Arial" w:cs="Arial" w:eastAsia="Arial" w:hAnsi="Arial"/>
          <w:color w:val="444444"/>
          <w:sz w:val="22"/>
          <w:szCs w:val="22"/>
        </w:rPr>
        <w:t xml:space="preserve">Goal: expand the user's reach beyond 1:1 delivery without proportionally increasing time investment. The agent identifies venues, drafts submissions, structures programs, builds all facilitation materials, and sets up the operational infrastructure to run repeatable group delivery.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Prompts Required</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Result Displayed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Research and submit speaking proposals to relevant conferences and podcasts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Are you targeting in-person conferences, virtual events, or podcasts?</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geographic regions?</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your preferred talk format — keynote (45 min), breakout (20 min), or panel?</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Do you have a speaker bio or prior recording?</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20 matched conferences and podcasts with submission deadlines, audience size, and fit score. For each: a pre-drafted CFP proposal (title, abstract, three learning outcomes, speaker bio) ready for one-click submission. Submitted proposals tracked with deadline reminders.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Negotiate speaker fees and draft a speaker rider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Are you currently speaking for free to build visibility, or ready to charge?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your target fee for a keynote, breakout, and panel respectively?</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logistical requirements do you have (travel class, hotel nights, AV needs, green room)?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speaker fee structure with tiered rates (nonprofit/small conference, mid-market conference, corporate event), a one-page speaker rider document, and a negotiation response template for when organizers push back on fee. Includes a speaker contract template for paid engagements.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group coaching program with curriculum, pricing, and cohort CRM setup</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How many participants per cohort (ideal: 8–15)?</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transformation do participants achieve?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How many weeks and sessions?</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your price per participant?</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community platform will you use?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 group coaching spec: program name, tagline, 6–12 week curriculum, session format, homework, community platform recommendation, pricing tiers (early bird, standard, VIP), projected revenue table by cohort size, and a Notion or Airtable CRM template for tracking cohort participants through enrollment, onboarding, and completion.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Identify and outreach to corporate training buyers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company sizes do you want to target (SMB, mid-market, enterprise)?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Which departments are the primary buyers (L&amp;D, Engineering, Sales, HR)?</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your preferred workshop duration (half-day, full-day, multi-day)?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25 companies with L&amp;D or relevant department leads sourced from LinkedIn, a corporate training deck outline (5 slides: problem, program overview, outcomes, logistics, pricing), and 5 personalized outreach email drafts targeting identified buyers. Tracks outreach status per company.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Draft a full workshop curriculum and facilitator guide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specific skill or outcome should participants leave with?</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Who is the audience (role, experience level)?</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Will this be in-person or virtual?</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tools will participants need access to?</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workshop curriculum: learning objectives, timed agenda, facilitator talking points per segment, participant exercises and worksheets, slide deck outline (30–40 slides), pre-workshop survey, and a post-workshop feedback form. All downloadable as DOCX and PPTX.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 waitlist landing page brief and email sequence for first cohort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the program name and one-sentence transformation promise?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the anticipated start date and price?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Do you want email-only collection or a full application (name, role, company, goals)?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Landing page copy: hero headline, three benefit bullets, social proof placeholder, FAQ (5 questions), waitlist form fields, and a 3-email confirmation sequence (confirmation, nurture, launch announcement). Ready for Webflow, Carrd, or ConvertKit.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cohort graduation and alumni reactivation system</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Do you plan to run multiple cohorts of the same program?</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would you offer alumni — a discounted repeat, an advanced cohort, or a referral incentive?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How do you want to maintain the alumni relationship between cohorts?</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cohort completion ceremony guide (final session agenda, certificate template, celebration email), an alumni community onboarding sequence, a re-enrollment offer email (timed 60 days post-graduation), and a referral incentive program spec. Projected re-enrollment revenue 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Calculate workshop and cohort ROI and recommend optimal delivery cadence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How many hours does it take you to prepare and deliver one workshop or cohort?</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What is your current per-session rate or cohort price?</w:t>
            </w:r>
          </w:p>
          <w:p>
            <w:pPr>
              <w:spacing w:after="60"/>
            </w:pPr>
            <w:r>
              <w:rPr>
                <w:rFonts w:ascii="Arial" w:cs="Arial" w:eastAsia="Arial" w:hAnsi="Arial"/>
                <w:color w:val="2E6DB4"/>
                <w:sz w:val="18"/>
                <w:szCs w:val="18"/>
              </w:rPr>
              <w:t xml:space="preserve">►  </w:t>
            </w:r>
            <w:r>
              <w:rPr>
                <w:rFonts w:ascii="Arial" w:cs="Arial" w:eastAsia="Arial" w:hAnsi="Arial"/>
                <w:color w:val="444444"/>
                <w:sz w:val="19"/>
                <w:szCs w:val="19"/>
              </w:rPr>
              <w:t xml:space="preserve">How many workshops or cohorts can you realistically run per quarter?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ROI analysis table: time invested per delivery, gross revenue per delivery, effective hourly rate, quarterly and annual revenue projection at current cadence. A cadence recommendation showing the delivery frequency that maximizes income without burnout, with a rationale. Displayed as a formatted table with a narrative summary.</w:t>
            </w:r>
          </w:p>
        </w:tc>
      </w:tr>
    </w:tbl>
    <w:p>
      <w:pPr>
        <w:spacing w:after="160"/>
      </w:pPr>
      <w:r>
        <w:t xml:space="preserve"/>
      </w:r>
    </w:p>
    <w:p>
      <w:pPr>
        <w:pStyle w:val="Heading2"/>
      </w:pPr>
      <w:r>
        <w:t xml:space="preserve">Layer 3 — Productized Income: Sell Once, Deliver Many</w:t>
      </w:r>
    </w:p>
    <w:p>
      <w:pPr>
        <w:spacing w:after="120"/>
      </w:pPr>
      <w:r>
        <w:rPr>
          <w:rFonts w:ascii="Arial" w:cs="Arial" w:eastAsia="Arial" w:hAnsi="Arial"/>
          <w:color w:val="444444"/>
          <w:sz w:val="22"/>
          <w:szCs w:val="22"/>
        </w:rPr>
        <w:t xml:space="preserve">Goal: transform the user's expertise into scalable digital products that generate revenue independently of their time. The agent builds the product scaffolding, writes all sales copy, designs the launch sequence, and implements the ongoing optimization and testimonial flywheel that compounds product revenue over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Prompts Required</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Result Displayed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full online course curriculum with module outlines and platform setup checklist</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outcome does a student achieve by completing this course?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Who is the ideal student (role, experience level, pain point)?</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long should the course be?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platform will you host it on (Teachable, Maven, Kajabi, Udemy)?</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Course architecture: title, subtitle, 5–7 learning objectives, 6–12 module breakdown with lesson titles, estimated video durations, assessments, and a platform-specific setup checklist. Downloadable as DOCX and importable to Teachable via 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Research competing courses and recommend positioning and pricing strategy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are 2–3 courses you consider competitors or comparables?</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your differentiation — methodology, audience specificity, depth, or format?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competitor analysis table (5–10 courses): platform, price, student count, rating, content length, format. A recommended price point with rationale, a positioning statement differentiating the user's course, and a pricing strategy recommendation (one-time, subscription, or cohort-based).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Write a complete course or product sales page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the product name?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the single most compelling before/after transformation?</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have early student testimonials or beta feedback?</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the price?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sales page copy (1,500–2,500 words): hero section, transformation statement, who this is for, curriculum overview, instructor bio, social proof section, FAQ (7 questions), guarantee statement, and three CTA placements. Formatted in HTML ready to paste into Teachable, Kajabi, or Webflow.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Draft and outline an e-book or digital guide with Gumroad or Lemon Squeezy listing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problem does this guide solve and for whom?</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in-depth should it be (quick guide vs. definitive guide)?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Will this be a free lead magnet or a paid product?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 e-book outline: title, subtitle, introduction draft (500 words), chapter-by-chapter outline, conclusion draft, and cover design brief. If paid: a Gumroad or Lemon Squeezy product listing (title, description, pricing, tags). If free: lead magnet landing page copy block and opt-in confirmation email.</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product A/B test and pricing experiment plan</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your current product price?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alternative price points do you want to test?</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have enough traffic to run a statistically valid test (at least 200 visits per variant per week)?</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conversion metric defines success?</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A/B test plan: variant definitions (price A vs. price B, or headline A vs. headline B), required sample size calculation, test duration, success metric, and a decision rule for choosing the winner. A post-test analysis template to log results. Includes guidance on running the test in Teachable, Gumroad, or via a simple redirect split.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Structure a membership community with tiers, rules, and 12-week content calendar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platform do you prefer (Circle, Skool, Mighty Networks, Discord)?</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many membership tiers (free, paid, VIP)?</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recurring content will you commit to monthly?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membership structure: tier names, pricing, included benefits; community rules and welcome message; 12-week content calendar (weekly themes, post types, engagement prompts); member milestone roadmap (30/60/90-day outcomes); and a churn-prevention email sequence (3 emails targeting members who have not logged in for 14 days).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7-email product launch sequence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many days before launch should the sequence start?</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have an existing email list?</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the product and price?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Is there an early-bird discount or cart-close deadline?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7-email launch sequence with subject lines, body copy, and send-day schedule: Day 0 announcement, Day 2 problem agitation, Day 4 solution reveal, Day 6 social proof, Day 8 FAQ and objections, Day 10 cart closing warning, Day 11 final hours. Each email 200–400 words, personalization-token ready for ConvertKit or ActiveCampaign.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an affiliate recruitment program for the user's own product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commission rate would you offer affiliates (10%, 20%, 30%)?</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Is it a one-time commission or recurring on subscription renewals?</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want affiliates to be public (open program) or curated (invite-only)?</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your preferred affiliate tracking tool?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affiliate program spec: commission structure, cookie duration, payout schedule, and approved promotional materials (email swipe copy, social post templates, banner ad copy). A list of 20 potential affiliates in the user's space with contact details and recommended outreach. An affiliate recruitment email sequence (3 emails). Setup checklist for Rewardful, Lemon Squeezy, or Gumroad affiliates.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student testimonial and case study collection system</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many students or customers do you currently have?</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want short quotes, long written case studies, or video testimonial scripts?</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At what point in the student journey should testimonials be requested (mid-course, at completion, 30 days post-completion)?</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testimonial collection sequence (2 emails per student: request and follow-up), a structured intake form (before state, after state, quantified outcome, recommendation), and formatted display copy for sales page, social proof blocks, and course platform. Five pre-written testimonial requests tailored to the user's specific product and student outcomes.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reactivation campaign for lapsed buyers or inactive members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How long since a buyer last engaged qualifies them as lapsed (30, 60, 90 days)?</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What is the re-engagement offer — a discount, bonus module, or a check-in call?</w:t>
            </w:r>
          </w:p>
          <w:p>
            <w:pPr>
              <w:spacing w:after="60"/>
            </w:pPr>
            <w:r>
              <w:rPr>
                <w:rFonts w:ascii="Arial" w:cs="Arial" w:eastAsia="Arial" w:hAnsi="Arial"/>
                <w:color w:val="0F6E56"/>
                <w:sz w:val="18"/>
                <w:szCs w:val="18"/>
              </w:rPr>
              <w:t xml:space="preserve">►  </w:t>
            </w:r>
            <w:r>
              <w:rPr>
                <w:rFonts w:ascii="Arial" w:cs="Arial" w:eastAsia="Arial" w:hAnsi="Arial"/>
                <w:color w:val="444444"/>
                <w:sz w:val="19"/>
                <w:szCs w:val="19"/>
              </w:rPr>
              <w:t xml:space="preserve">Do you have their email addresses in an accessible list?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3-email reactivation sequence: Email 1 (we noticed you have not been active — here is what you are missing), Email 2 (a win from another student to inspire re-engagement), Email 3 (a time-limited offer to return). Segmentation logic for tagging lapsed buyers in ConvertKit or ActiveCampaign. Projected reactivation revenue based on list size and estimated conversion rate.</w:t>
            </w:r>
          </w:p>
        </w:tc>
      </w:tr>
    </w:tbl>
    <w:p>
      <w:pPr>
        <w:spacing w:after="160"/>
      </w:pPr>
      <w:r>
        <w:t xml:space="preserve"/>
      </w:r>
    </w:p>
    <w:p>
      <w:pPr>
        <w:pStyle w:val="Heading2"/>
      </w:pPr>
      <w:r>
        <w:t xml:space="preserve">Layer 4 — Automated Residual: Systems Running Without You</w:t>
      </w:r>
    </w:p>
    <w:p>
      <w:pPr>
        <w:spacing w:after="120"/>
      </w:pPr>
      <w:r>
        <w:rPr>
          <w:rFonts w:ascii="Arial" w:cs="Arial" w:eastAsia="Arial" w:hAnsi="Arial"/>
          <w:color w:val="444444"/>
          <w:sz w:val="22"/>
          <w:szCs w:val="22"/>
        </w:rPr>
        <w:t xml:space="preserve">Goal: build the infrastructure that generates income without the user's active involvement. This means automating content production, audience growth, lead conversion, and recurring revenue — and creating or speccing the systems to sustain and compound those outputs indefinitely.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Prompts Required</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Result Displayed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Generate a 90-day SEO content calendar and draft the first 5 articles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primary content domain?</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Do you have an existing blog or website URL?</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Who is your target reader — practitioner, executive, or general professional?</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Any keywords you already rank for or want to own?</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90-day content calendar: 36 post titles organized by theme cluster, target keyword, recommended word count, and internal linking map. Plus 5 fully drafted articles (800–1,200 words each), optimized with H1/H2 structure, meta description, and a CTA pointing to the user's Layer 3 product. Downloadable as individual DOCX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an automated lead magnet and email nurture funnel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free resource will you offer as the lead magnet (checklist, mini-course, toolkit, assessment)?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email platform do you use?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end offer the funnel leads toward?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 funnel package: fully drafted lead magnet content, opt-in page copy, thank-you page copy, and a 5-email nurture sequence (Day 0 delivery, Day 2 quick win, Day 5 deeper value, Day 8 social proof, Day 12 offer introduction). All emails import-ready for ConvertKit or ActiveCampaign via CSV.</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and launch a newsletter monetization strategy</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Do you have an existing newsletter or email list?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current list size and open rate?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Do you want to monetize via sponsorships, paid subscriber tiers, or both?</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topics do you cover in each issue?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newsletter monetization plan: sponsorship rate card (based on list size and open rate), a Beehiiv or Substack paid tier structure with content differentiation, a sponsorship outreach list of 15 relevant brands with contact emails and estimated deal value, and a 4-week editorial calendar showing free vs. paid content split.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Produce a SaaS product specification built on the user's methodology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core repeatable process from your Expertise Zone that others need to execute?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Who is the target user of the SaaS tool?</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primary workflow it automates?</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preferred monetization model (per-seat, usage-based, flat monthly)?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full SaaS product spec (10–15 pages): product name and tagline, problem statement, target persona, core feature set (MVP and v2), user journey map, data model overview, integration requirements, monetization model with pricing tiers, competitive positioning, and a 6-month build roadmap. Exportable as DOCX for sharing with a technical co-founder or development agency.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Draft IP licensing outreach, one-pager, and licensing agreement template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specific framework, methodology, curriculum, or tool do you want to license?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Who are your target licensees — companies, training firms, educational institutions, or individual coaches?</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preferred licensing model — per-seat, annual flat fee, or revenue share?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licensing one-pager (the pitch), a list of 15 target licensee organizations with identified decision-maker contacts, 3 personalized outreach email drafts, and a plain-English IP licensing agreement (licensed scope, territory, exclusivity, term, fees, audit rights, termination). Downloadable as DOCX.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Identify affiliate and referral partnership opportunities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tools, platforms, or services do you already recommend in your work?</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Are you looking for inbound affiliates (others who promote your products) or outbound (you promote others for commission)?</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commission structure is acceptable?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curated list of 20 affiliate programs relevant to the Expertise Zone with commission rates, cookie durations, and fit scores. For inbound: a draft affiliate program one-pager and recruitment email. For outbound: an affiliate disclosure template and recommended content integration strategy.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Build a YouTube or podcast content strategy and script the first 3 episodes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preferred format — long-form YouTube, short-form YouTube, audio podcast, or video podcast?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show name and premise?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How often can you produce content?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end call-to-action — product, mailing list, or consultation?</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Show strategy doc: 3 show name options, positioning statement, audience profile, 24-episode content plan organized by theme arc, episode format template, and 3 fully scripted episodes (2,000–3,000 words each) with timestamps. Episode titles are SEO-optimized. Distribution checklist for Spotify, Apple, and YouTube 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community flywheel activation plan to grow and monetize an existing audience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How large is your current audience across all platforms combined?</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Which platform has the highest engagement?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primary reason people follow you — entertainment, education, or career advancement?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Do you have a paid community or are you building toward 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community flywheel strategy: content formats that convert followers to subscribers, a welcome sequence for new community members, a monthly engagement calendar (AMAs, challenges, live sessions), a paid tier upgrade pathway with specific trigger events, and a 90-day audience growth projection based on current platform and engagement rate.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Create a programmatic ad strategy and ad copy set for evergreen product promotion</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the product you want to advertise?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monthly ad budget?</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Which platforms do you want to run ads on (Meta, LinkedIn, Google, YouTube)?</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What is your target cost-per-acquisition based on the product price?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full ad strategy brief: platform recommendation with rationale, target audience definition (demographics, interests, behaviors), ad format recommendations per platform, and a set of 10 ad copy variations (headline, primary text, CTA) across three creative angles — pain point, outcome, and social proof. Includes a campaign structure diagram and a budget allocation recommendation.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 reactivation and win-back campaign for lapsed Layer 1 and Layer 2 clients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How long since a past client engaged qualifies them as lapsed (3 months, 6 months, 1 year)?</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Do you want to offer a reduced-rate re-engagement, a new service tier, or simply a check-in?</w:t>
            </w:r>
          </w:p>
          <w:p>
            <w:pPr>
              <w:spacing w:after="60"/>
            </w:pPr>
            <w:r>
              <w:rPr>
                <w:rFonts w:ascii="Arial" w:cs="Arial" w:eastAsia="Arial" w:hAnsi="Arial"/>
                <w:color w:val="BA7517"/>
                <w:sz w:val="18"/>
                <w:szCs w:val="18"/>
              </w:rPr>
              <w:t xml:space="preserve">►  </w:t>
            </w:r>
            <w:r>
              <w:rPr>
                <w:rFonts w:ascii="Arial" w:cs="Arial" w:eastAsia="Arial" w:hAnsi="Arial"/>
                <w:color w:val="444444"/>
                <w:sz w:val="19"/>
                <w:szCs w:val="19"/>
              </w:rPr>
              <w:t xml:space="preserve">How many lapsed clients do you estimate you have?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3-email win-back sequence tailored to past consulting or coaching clients: Email 1 (genuine check-in — how has their situation evolved?), Email 2 (a relevant insight or resource tied to their known challenge), Email 3 (a specific re-engagement offer with a deadline). A tracking sheet for monitoring responses. Projected re-engagement revenue based on estimated list size and 5% conversion assumption.</w:t>
            </w:r>
          </w:p>
        </w:tc>
      </w:tr>
    </w:tbl>
    <w:p>
      <w:pPr>
        <w:spacing w:after="160"/>
      </w:pPr>
      <w:r>
        <w:t xml:space="preserve"/>
      </w:r>
    </w:p>
    <w:p>
      <w:pPr>
        <w:pStyle w:val="Heading2"/>
      </w:pPr>
      <w:r>
        <w:t xml:space="preserve">Layer 5 — Wealth Deployment: Money Working for You</w:t>
      </w:r>
    </w:p>
    <w:p>
      <w:pPr>
        <w:spacing w:after="120"/>
      </w:pPr>
      <w:r>
        <w:rPr>
          <w:rFonts w:ascii="Arial" w:cs="Arial" w:eastAsia="Arial" w:hAnsi="Arial"/>
          <w:color w:val="444444"/>
          <w:sz w:val="22"/>
          <w:szCs w:val="22"/>
        </w:rPr>
        <w:t xml:space="preserve">Goal: convert the income generated by Layers 1–4 into compounding long-term wealth. The agent calculates personalized allocation strategies, models growth projections, surfaces specific investment vehicles, addresses tax optimization and entity structure, and drafts all planning documents needed to execute a disciplined, sustained wealth-building program.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Prompts Required</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Result Displayed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Calculate a personalized monthly income allocation strategy across asset classes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estimated monthly income from Layers 1–4 combined?</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are your fixed monthly personal expenses?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existing investments or retirement accounts?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risk tolerance (conservative, moderate, aggressive)?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investment time horizon?</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monthly allocation breakdown: operating reserve (%), tax reserve (%), emergency fund top-up (%), Layer 4 reinvestment (%), index funds (%), real estate reserve (%), and discretionary. Dollar amounts shown for the user's specific income level. Updated automatically when Layer 1–4 income estimates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Model compound growth projections for the user's wealth deployment plan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monthly amount do you plan to deploy into investments?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Over how many years do you want to model growth?</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average annual return assumption should be used (conservative: 6%, moderate: 8%, aggressive: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compound growth projection table at Years 1, 3, 5, 10, 15, and 20 under three return scenarios. A breakeven timeline showing when passive investment income covers monthly expenses. All figures in today's dollars and inflation-adjusted. Downloadable as a formatted PDF report.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Research and recommend specific index funds and ETFs aligned to the user's profile</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prefer US-only, international, or global diversification?</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want ESG (socially responsible) options?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a preference for Vanguard, Fidelity, or Schwab?</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Are you investing in a taxable account, IRA, or 401(k)?</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curated list of 8–12 recommended funds: name, ticker, expense ratio, 5-year return, dividend yield, and fit score. Organized by allocation category (US equities, international, bonds, REITs). A model portfolio with percentage allocation across selected funds. If fintech toggle is enabled, links to fund detail pages on the connected brokerage.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Draft a Personal Investment Policy Statement (IPS)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are your top three financial goals and target dates?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minimum annual return do you need?</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events would trigger a portfolio rebalance?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Who, if anyone, should be named as a financial beneficiary?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complete 2-page IPS: investment objectives, time horizon, risk tolerance, target asset allocation, rebalancing triggers and schedule, prohibited investments, and a review cadence. Formatted as a signed document template ready for annual review and shareable with a fee-only financial advisor.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Develop a real estate entry strategy based on current capital position</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current investable capital available for real estate?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Are you interested in direct property ownership, REITs, or real estate syndications?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preferred hold period (short-term flip, medium-term rental, long-term appreciation)?</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a target geography?</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real estate strategy brief: recommended entry strategy based on capital position, direct ownership vs. REIT vs. syndication comparison, and — if direct ownership — 5 target metro markets with median home price, average cap rate, rent-to-price ratio, and population growth trend. First-property acquisition checklist and due diligence sequence 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Design a tax optimization strategy for self-employed and multi-stream income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Are you currently operating as a sole proprietor, LLC, or S-Corp?</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estimated annual gross income from all Layers combined?</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a retirement account (SEP-IRA, Solo 401k)?</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business expenses do you currently deduct?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tax optimization brief (for review with a CPA): recommended entity structure (LLC vs. S-Corp election based on income threshold), retirement account contribution strategy (SEP-IRA vs. Solo 401k limits and tax impact), list of commonly missed deductions for multi-stream earners (home office, software, professional development, health insurance), and a quarterly estimated tax payment schedule. Disclaimer: for planning purposes only — review with a licensed CPA before acting.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Recommend a business entity structure as income scales</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current business entity (none, sole proprietor, LLC, S-Corp, C-Corp)?</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current annual revenue from all sources?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business partners or co-founders?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plan to raise outside investment or sell equity in the future?</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entity structure recommendation with rationale: comparison of sole proprietor, single-member LLC, S-Corp election, and C-Corp across tax treatment, liability protection, administrative overhead, and investor readiness. A transition checklist if a structure change is recommended. A list of 5 questions to bring to a business attorney for final confirmation.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Create a dollar-cost averaging schedule and automated contribution plan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brokerage or investment platform will you use?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day of the month do you receive your primary income?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fixed dollar amount do you want to automate per contribution cycle (weekly, bi-weekly, or monthly)?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DCA schedule table: contribution date, amount, target fund allocation per contribution, and a 12-month forward projection of portfolio growth from DCA alone. Setup guide for the user's specific brokerage (Fidelity, Schwab, Vanguard, or Robinhood) with step-by-step instructions to enable automatic investment. If fintech toggle is on, the agent initiates automation via connected brokerage API.</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Conduct an insurance gap analysis and coverage recommendation</w:t>
            </w:r>
          </w:p>
        </w:tc>
        <w:tc>
          <w:tcPr>
            <w:tcW w:type="dxa" w:w="3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currently have professional liability (E&amp;O) insurance?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disability income insurance?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a term life policy?</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Are you covered by a health plan?</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What is your current annual income that would need to be replaced if you were unable to work?</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insurance gap analysis: current coverage vs. recommended coverage for a self-employed multi-stream earner. Specific recommendations for E&amp;O coverage amount (calibrated to Layer 1 consulting volume), disability income benefit amount and elimination period, term life coverage multiple, and health plan type. A checklist of next steps and a list of recommended broker types (independent vs. captive) for each coverage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Build an estate planning trigger checklist and beneficiary review</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currently have a will or living trust?</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Have you designated beneficiaries on your retirement accounts and life insurance policies?</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dependents or a spouse?</w:t>
            </w:r>
          </w:p>
          <w:p>
            <w:pPr>
              <w:spacing w:after="60"/>
            </w:pPr>
            <w:r>
              <w:rPr>
                <w:rFonts w:ascii="Arial" w:cs="Arial" w:eastAsia="Arial" w:hAnsi="Arial"/>
                <w:color w:val="444444"/>
                <w:sz w:val="18"/>
                <w:szCs w:val="18"/>
              </w:rPr>
              <w:t xml:space="preserve">►  </w:t>
            </w:r>
            <w:r>
              <w:rPr>
                <w:rFonts w:ascii="Arial" w:cs="Arial" w:eastAsia="Arial" w:hAnsi="Arial"/>
                <w:color w:val="444444"/>
                <w:sz w:val="19"/>
                <w:szCs w:val="19"/>
              </w:rPr>
              <w:t xml:space="preserve">Do you have any business assets that need succession planning?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estate planning checklist: documents needed (will, healthcare proxy, durable power of attorney, living trust if applicable), beneficiary designation audit across all accounts, a business succession consideration brief, and a list of 7 questions to bring to an estate planning attorney. A recommended timeline for completing each document based on current asset level and family situation. Disclaimer: for planning purposes only — review with a licensed estate attorney before acting.</w:t>
            </w:r>
          </w:p>
        </w:tc>
      </w:tr>
    </w:tbl>
    <w:p>
      <w:pPr>
        <w:spacing w:after="160"/>
      </w:pPr>
      <w:r>
        <w:t xml:space="preserve"/>
      </w:r>
    </w:p>
    <w:p>
      <w:pPr>
        <w:pStyle w:val="Heading2"/>
      </w:pPr>
      <w:r>
        <w:t xml:space="preserve">6.6 Agent Execution Architecture</w:t>
      </w:r>
    </w:p>
    <w:p>
      <w:pPr>
        <w:spacing w:after="120"/>
      </w:pPr>
      <w:r>
        <w:rPr>
          <w:rFonts w:ascii="Arial" w:cs="Arial" w:eastAsia="Arial" w:hAnsi="Arial"/>
          <w:color w:val="444444"/>
          <w:sz w:val="22"/>
          <w:szCs w:val="22"/>
        </w:rPr>
        <w:t xml:space="preserve">All agent actions across all five layers operate through a shared execution model. The following table defines how the agent loop is implemented in the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Agent Trigger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clicks 'Execute' on any agent action card within a Simulation layer. Agent checks its required prompt fields — any unanswered prompts surface as an inline form before execution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Prompt Collection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Missing information is collected via a lightweight inline form rendered within the layer card. Fields are saved to the simulation's agent_context JSON column so they persist across sessions and are reused for subsequent actions in the same layer without re-asking.</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Execution Engine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 API called with the user's Expertise Zone, relevant Deliverables, all collected prompt answers, and the specific action instruction as a structured tool-use request. Streaming enabled for long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Action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Every executed action written to the agent_actions table: action_id (CHAR 9), simulation_id (CHAR 9), layer_number, action_type, status (pending | running | complete | failed), input_context (JSON), output_artifact (TEXT or file path), executed_at.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Result Display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Results shown inline within the layer card below the triggering action. Tagged with a status badge (Complete, In Progress, Failed), a timestamp, and action-specific controls (Copy, Download, Send, Regenerate).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Artifact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Documents, email drafts, scripts, and structured outputs stored as artifacts in the simulation's artifact store, linked to the action_id. Downloadable at any time from the Simulation view.</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Re-execution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Any action can be re-executed with updated prompt answers. Previous outputs are archived (not deleted) in the action log. Re-execution generates a new action record, preserving full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Cross-Layer 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Prompt answers collected in Layer 1 (e.g., target industry, rate) are automatically surfaced as pre-filled defaults in Layers 2–5 where the same information is relevant. Users are shown the pre-filled value and may override it.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Cost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All agent action execution is included in the Simulation fee paid at creation. No per-action charge. Re-execution of individual actions is free. A new charge at the current configured price applies only when creating a new Simulation.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Legal Disclaimer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For actions that generate tax, legal, insurance, or estate planning content, results are displayed with a standard disclaimer: 'For planning purposes only. Review with a licensed professional before acting.'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8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Agent Actions Available</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L1</w:t>
            </w:r>
          </w:p>
        </w:tc>
        <w:tc>
          <w:tcPr>
            <w:tcW w:type="dxa" w:w="8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11 actions — Cold email campaign to target companies, consulting outreach, rate card, role search, LinkedIn optimization, booking page, proposal + SOW, consulting agreement, referral network, social proof, negotiation coaching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8 actions — Speaking proposals, speaker fee + rider, group coaching + CRM, corporate training, workshop curriculum, waitlist landing page, alumni reactivation, ROI calculator</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L3</w:t>
            </w:r>
          </w:p>
        </w:tc>
        <w:tc>
          <w:tcPr>
            <w:tcW w:type="dxa" w:w="8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 actions — Course curriculum, competitive pricing, sales page, e-book + listing, A/B test plan, membership structure, launch email sequence, affiliate program, testimonial system, lapsed buyer reactivation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 actions — SEO content calendar, lead magnet funnel, newsletter monetization, SaaS spec, IP licensing, affiliate partnerships, YouTube/podcast strategy, community flywheel, programmatic ad strategy, client win-back campaign</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L5</w:t>
            </w:r>
          </w:p>
        </w:tc>
        <w:tc>
          <w:tcPr>
            <w:tcW w:type="dxa" w:w="8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 actions — Income allocation, compound growth model, fund recommendations, IPS, real estate strategy, tax optimization, entity structure, DCA schedule, insurance gap analysis, estate planning checklist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L6</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Continuous autonomous orchestration — dependency graph scheduling, Explore/Exploit phase management, Bayesian outcome tracking, Growth Command Center (Numbers + Actions + Momentum), Escalation Queue, Re-Calibration Events, full execution audit log. Runs above all 49 L1–L5 actions as the meta-agent.</w:t>
            </w:r>
          </w:p>
        </w:tc>
      </w:tr>
    </w:tbl>
    <w:p>
      <w:pPr>
        <w:spacing w:after="120"/>
      </w:pPr>
      <w:r>
        <w:t xml:space="preserve"/>
      </w:r>
    </w:p>
    <w:p>
      <w:pPr>
        <w:spacing w:after="120"/>
      </w:pPr>
      <w:r>
        <w:rPr>
          <w:rFonts w:ascii="Arial" w:cs="Arial" w:eastAsia="Arial" w:hAnsi="Arial"/>
          <w:color w:val="444444"/>
          <w:sz w:val="22"/>
          <w:szCs w:val="22"/>
        </w:rPr>
        <w:t xml:space="preserve">The AI Reasoning field for each Income Stream is displayed alongside every agent action card, reminding the user which of their specific career Deliverables justifies this action and why executing it is the highest-leverage move at this stage of their wealth-building journey.</w:t>
      </w:r>
    </w:p>
    <w:p>
      <w:pPr>
        <w:spacing w:after="160"/>
      </w:pPr>
      <w:r>
        <w:t xml:space="preserve"/>
      </w:r>
    </w:p>
    <w:p>
      <w:pPr>
        <w:pStyle w:val="Heading2"/>
      </w:pPr>
      <w:r>
        <w:t xml:space="preserve">6.7 Agent Tool &amp; Skill Registry</w:t>
      </w:r>
    </w:p>
    <w:p>
      <w:pPr>
        <w:spacing w:after="120"/>
      </w:pPr>
      <w:r>
        <w:rPr>
          <w:rFonts w:ascii="Arial" w:cs="Arial" w:eastAsia="Arial" w:hAnsi="Arial"/>
          <w:color w:val="444444"/>
          <w:sz w:val="22"/>
          <w:szCs w:val="22"/>
        </w:rPr>
        <w:t xml:space="preserve">Every agent action is executed through a combination of the Claude API and one or more platform skills or external tool integrations. The registry below maps each action type to the specific skill, tool, or service that executes it. Skills marked as available are implemented natively on the platform. NotebookLM integrations are invoked via NotebookLM API or structured export/import workflows where a direct API is unavailable.</w:t>
      </w:r>
    </w:p>
    <w:p>
      <w:pPr>
        <w:spacing w:after="100"/>
      </w:pPr>
      <w:r>
        <w:t xml:space="preserve"/>
      </w:r>
    </w:p>
    <w:p>
      <w:pPr>
        <w:pStyle w:val="Heading3"/>
      </w:pPr>
      <w:r>
        <w:t xml:space="preserve">6.7.1 Available Skills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 / Tool</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Format</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pptx skill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(local)</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.pptx file</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Slide decks — course overview decks, pitch decks, corporate training presentations, speaking proposals, workshop outlines, product launch slides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xlsx skill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.xlsx 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Data tables — competitor analysis tables, income projection models, DCA schedules, compound growth tables, affiliate commission trackers, cohort revenue projections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docx skill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(local)</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.docx file</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Reports &amp; documents — consulting proposals, SOW templates, licensing agreements, consulting agreements, e-book outlines, IPS documents, SaaS product specs, workshop facilitator guides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pdf skill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.pdf 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PDF exports — rate cards, capability one-pagers, formatted reports, investment policy statements, estate planning checklists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canvas-design skill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(local)</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.png / .pdf</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Infographics — visual one-pagers, capability posters, lead magnet covers, e-book covers, speaker media kits, course promotional graphics, infographic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Claude API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Anthropic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Text / HTML / 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All content generation — email copy, sales page copy, course outlines, negotiation scripts, SEO articles, podcast scripts, referral messages, ad copy, legal disclaimers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NotebookLM Audio Overview</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NotebookLM API</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.mp3 / .wav</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Audio summaries — spoken overview of Simulation results, layer-by-layer audio walkthrough, income stream audio brief for on-the-go consumption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NotebookLM Video Overview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NotebookLM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.mp4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Video overviews — short explainer video of the user's Expertise Zone and Simulation plan, shareable for LinkedIn or stakeholder presentations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NotebookLM Mind Map</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NotebookLM API</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.png / interactive</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Mind maps — visual map of the five-layer wealth pyramid anchored to the user's specific Expertise Zone, Income Streams, and 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NotebookLM Flashcards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NotebookLM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Interactive deck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Flashcards — study cards for key income stream concepts, negotiation tactics, tax optimization terms, investment vocabulary tailored to the user's Simulation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NotebookLM Report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NotebookLM API</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.pdf</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Structured reports — deep-dive Simulation summary report, Layer 5 wealth strategy brief, SEO content strategy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Apollo / Instantly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Campaign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Cold email execution — push researched prospect lists and 3-step sequences directly to cold email campaign; track open, click, and reply rates per company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LinkedIn OAuth</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Profile data</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Profile crawl — fetch work history, roles, achievements for expertise zone extraction; post optimized profile copy back via LinkedIn API if authorized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Cal.com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Booking page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Booking page creation — programmatically create event types, availability, pricing, and intake form fields on the user's Cal.com account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Stripe API</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Payment</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Per-Simulation billing — dynamic charge at the current admin-configured price, issue invoices, process automatic refunds on failed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ConvertKit / ActiveCampaign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Email sequences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Email funnel automation — import lead magnet nurture sequences, product launch emails, reactivation campaigns, waitlist sequences directly into the user's account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Plaid / Alpaca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External API (toggled)</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Portfolio data</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Fintech Layer 5 (admin toggle) — surface real fund data, brokerage account links, initiate DCA automation when toggle is enabled</w:t>
            </w:r>
          </w:p>
        </w:tc>
      </w:tr>
    </w:tbl>
    <w:p>
      <w:pPr>
        <w:spacing w:after="160"/>
      </w:pPr>
      <w:r>
        <w:t xml:space="preserve"/>
      </w:r>
    </w:p>
    <w:p>
      <w:pPr>
        <w:pStyle w:val="Heading3"/>
      </w:pPr>
      <w:r>
        <w:t xml:space="preserve">6.7.2 Action-to-Skill Mapping by Layer</w:t>
      </w:r>
    </w:p>
    <w:p>
      <w:pPr>
        <w:spacing w:after="120"/>
      </w:pPr>
      <w:r>
        <w:rPr>
          <w:rFonts w:ascii="Arial" w:cs="Arial" w:eastAsia="Arial" w:hAnsi="Arial"/>
          <w:color w:val="444444"/>
          <w:sz w:val="22"/>
          <w:szCs w:val="22"/>
        </w:rPr>
        <w:t xml:space="preserve">The table below maps every agent action to its primary skill or tool and the secondary skill used for the downloadable artifact. Actions with a NotebookLM skill produce an additional rich-media output alongside the primary artifact.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80"/>
        <w:gridCol w:w="1640"/>
        <w:gridCol w:w="164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Action</w:t>
            </w:r>
          </w:p>
        </w:tc>
        <w:tc>
          <w:tcPr>
            <w:tcW w:type="dxa" w:w="2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Skill / Tool</w:t>
            </w:r>
          </w:p>
        </w:tc>
        <w:tc>
          <w:tcPr>
            <w:tcW w:type="dxa" w:w="16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 Skill</w:t>
            </w:r>
          </w:p>
        </w:tc>
        <w:tc>
          <w:tcPr>
            <w:tcW w:type="dxa" w:w="16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NotebookLM Output</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Cold email campaign to researched target companies</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Apollo / Instantly</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Consulting outreach emails to 10 target prospects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Audio Overview</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Consulting rate card and capability one-pager</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pdf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canvas-design</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Search active fractional and contract roles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LinkedIn OAuth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headline, About section, Featured block optimization</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LinkedIn OAuth</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Public booking page configuration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Cal.com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Consulting proposal and SOW template</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Consulting agreement template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Referral network activation — 15 contact messages</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Social proof and testimonial collection system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vAlign w:val="center"/>
          </w:tcPr>
          <w:p>
            <w:pPr>
              <w:jc w:val="center"/>
            </w:pPr>
            <w:r>
              <w:rPr>
                <w:rFonts w:ascii="Arial" w:cs="Arial" w:eastAsia="Arial" w:hAnsi="Arial"/>
                <w:b/>
                <w:bCs/>
                <w:color w:val="1B3A6B"/>
                <w:sz w:val="18"/>
                <w:szCs w:val="18"/>
              </w:rPr>
              <w:t xml:space="preserve">L1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Rate negotiation coaching script</w:t>
            </w:r>
          </w:p>
        </w:tc>
        <w:tc>
          <w:tcPr>
            <w:tcW w:type="dxa" w:w="228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Speaking proposals to conferences and podcasts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Speaker fee structure and rider</w:t>
            </w:r>
          </w:p>
        </w:tc>
        <w:tc>
          <w:tcPr>
            <w:tcW w:type="dxa" w:w="228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Group coaching program structure and curriculum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pptx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Mind Map</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Corporate training buyer outreach</w:t>
            </w:r>
          </w:p>
        </w:tc>
        <w:tc>
          <w:tcPr>
            <w:tcW w:type="dxa" w:w="228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LinkedIn OAuth</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Workshop curriculum and facilitator guide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pptx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Flashcards</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Waitlist landing page copy and email sequence</w:t>
            </w:r>
          </w:p>
        </w:tc>
        <w:tc>
          <w:tcPr>
            <w:tcW w:type="dxa" w:w="228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Alumni reactivation email sequence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2FB" w:val="clear"/>
            <w:tcMar>
              <w:top w:type="dxa" w:w="80"/>
              <w:left w:type="dxa" w:w="80"/>
              <w:bottom w:type="dxa" w:w="80"/>
              <w:right w:type="dxa" w:w="80"/>
            </w:tcMar>
            <w:vAlign w:val="center"/>
          </w:tcPr>
          <w:p>
            <w:pPr>
              <w:jc w:val="center"/>
            </w:pPr>
            <w:r>
              <w:rPr>
                <w:rFonts w:ascii="Arial" w:cs="Arial" w:eastAsia="Arial" w:hAnsi="Arial"/>
                <w:b/>
                <w:bCs/>
                <w:color w:val="2E6DB4"/>
                <w:sz w:val="18"/>
                <w:szCs w:val="18"/>
              </w:rPr>
              <w:t xml:space="preserve">L2</w:t>
            </w:r>
          </w:p>
        </w:tc>
        <w:tc>
          <w:tcPr>
            <w:tcW w:type="dxa" w:w="320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Workshop ROI calculator for corporate buyers</w:t>
            </w:r>
          </w:p>
        </w:tc>
        <w:tc>
          <w:tcPr>
            <w:tcW w:type="dxa" w:w="228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E6F2FB"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online course curriculum and module outlines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pptx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Mind Map</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Competing course research and positioning strategy</w:t>
            </w:r>
          </w:p>
        </w:tc>
        <w:tc>
          <w:tcPr>
            <w:tcW w:type="dxa" w:w="228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Report</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Course or product sales page (HTML)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E-book or digital guide outline and Gumroad listing</w:t>
            </w:r>
          </w:p>
        </w:tc>
        <w:tc>
          <w:tcPr>
            <w:tcW w:type="dxa" w:w="228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Audio Overview</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Product A/B test and pricing experiment plan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Membership community structure and 12-week content calendar</w:t>
            </w:r>
          </w:p>
        </w:tc>
        <w:tc>
          <w:tcPr>
            <w:tcW w:type="dxa" w:w="228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color w:val="0F6E56"/>
                <w:sz w:val="18"/>
                <w:szCs w:val="18"/>
              </w:rPr>
              <w:t xml:space="preserve">pptx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Flashcards</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7-email product launch sequence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Affiliate recruitment program spec and outreach</w:t>
            </w:r>
          </w:p>
        </w:tc>
        <w:tc>
          <w:tcPr>
            <w:tcW w:type="dxa" w:w="228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Student testimonial and case study collection system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0F6E56"/>
                <w:sz w:val="18"/>
                <w:szCs w:val="18"/>
              </w:rPr>
              <w:t xml:space="preserve">L3</w:t>
            </w:r>
          </w:p>
        </w:tc>
        <w:tc>
          <w:tcPr>
            <w:tcW w:type="dxa" w:w="320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Reactivation campaign for lapsed buyers</w:t>
            </w:r>
          </w:p>
        </w:tc>
        <w:tc>
          <w:tcPr>
            <w:tcW w:type="dxa" w:w="228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E6F5EE"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90-day SEO content calendar and 5 drafted articles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Report</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Automated lead magnet and email nurture funnel</w:t>
            </w:r>
          </w:p>
        </w:tc>
        <w:tc>
          <w:tcPr>
            <w:tcW w:type="dxa" w:w="22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Audio Overview</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Newsletter monetization strategy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SaaS product specification built on user methodology</w:t>
            </w:r>
          </w:p>
        </w:tc>
        <w:tc>
          <w:tcPr>
            <w:tcW w:type="dxa" w:w="22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Video Overview</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IP licensing outreach and agreement template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Affiliate and referral partnership identification</w:t>
            </w:r>
          </w:p>
        </w:tc>
        <w:tc>
          <w:tcPr>
            <w:tcW w:type="dxa" w:w="22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YouTube or podcast content strategy and 3 episode scripts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Audio Overview</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Community flywheel activation plan</w:t>
            </w:r>
          </w:p>
        </w:tc>
        <w:tc>
          <w:tcPr>
            <w:tcW w:type="dxa" w:w="22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0F6E56"/>
                <w:sz w:val="18"/>
                <w:szCs w:val="18"/>
              </w:rPr>
              <w:t xml:space="preserve">pptx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Mind Map</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Programmatic ad strategy and copy set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canvas-design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FF8E8" w:val="clear"/>
            <w:tcMar>
              <w:top w:type="dxa" w:w="80"/>
              <w:left w:type="dxa" w:w="80"/>
              <w:bottom w:type="dxa" w:w="80"/>
              <w:right w:type="dxa" w:w="80"/>
            </w:tcMar>
            <w:vAlign w:val="center"/>
          </w:tcPr>
          <w:p>
            <w:pPr>
              <w:jc w:val="center"/>
            </w:pPr>
            <w:r>
              <w:rPr>
                <w:rFonts w:ascii="Arial" w:cs="Arial" w:eastAsia="Arial" w:hAnsi="Arial"/>
                <w:b/>
                <w:bCs/>
                <w:color w:val="BA7517"/>
                <w:sz w:val="18"/>
                <w:szCs w:val="18"/>
              </w:rPr>
              <w:t xml:space="preserve">L4</w:t>
            </w:r>
          </w:p>
        </w:tc>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Client win-back campaign for lapsed L1/L2 clients</w:t>
            </w:r>
          </w:p>
        </w:tc>
        <w:tc>
          <w:tcPr>
            <w:tcW w:type="dxa" w:w="22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ConvertKit</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Personalized income allocation strategy across asset classes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Infographic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Compound growth projections for wealth deployment plan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Index fund and ETF recommendations aligned to user profile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Plaid/Alpaca (toggle)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Personal Investment Policy Statement (IPS)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Real estate entry strategy by capital position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Tax optimization strategy for multi-stream income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Business entity structure recommendation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Dollar-cost averaging schedule and contribution plan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 + Plaid/Alpaca (toggle)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F6E56"/>
                <w:sz w:val="18"/>
                <w:szCs w:val="18"/>
              </w:rPr>
              <w:t xml:space="preserve">xlsx skill</w:t>
            </w:r>
          </w:p>
        </w:tc>
        <w:tc>
          <w:tcPr>
            <w:tcW w:type="dxa" w:w="164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BA7517"/>
                <w:sz w:val="18"/>
                <w:szCs w:val="18"/>
              </w:rPr>
              <w:t xml:space="preserve">Flashcards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Insurance gap analysis and coverage recommendation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b/>
                <w:bCs/>
                <w:color w:val="444444"/>
                <w:sz w:val="18"/>
                <w:szCs w:val="18"/>
              </w:rPr>
              <w:t xml:space="preserve">L5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Estate planning trigger checklist and beneficiary review</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6DB4"/>
                <w:sz w:val="18"/>
                <w:szCs w:val="18"/>
              </w:rPr>
              <w:t xml:space="preserve">Claude API</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F6E56"/>
                <w:sz w:val="18"/>
                <w:szCs w:val="18"/>
              </w:rPr>
              <w:t xml:space="preserve">docx skill</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r>
    </w:tbl>
    <w:p>
      <w:pPr>
        <w:spacing w:after="160"/>
      </w:pPr>
      <w:r>
        <w:t xml:space="preserve"/>
      </w:r>
    </w:p>
    <w:p>
      <w:pPr>
        <w:pStyle w:val="Heading3"/>
      </w:pPr>
      <w:r>
        <w:t xml:space="preserve">6.7.3 NotebookLM Integration Specification</w:t>
      </w:r>
    </w:p>
    <w:p>
      <w:pPr>
        <w:spacing w:after="120"/>
      </w:pPr>
      <w:r>
        <w:rPr>
          <w:rFonts w:ascii="Arial" w:cs="Arial" w:eastAsia="Arial" w:hAnsi="Arial"/>
          <w:color w:val="444444"/>
          <w:sz w:val="22"/>
          <w:szCs w:val="22"/>
        </w:rPr>
        <w:t xml:space="preserve">NotebookLM outputs are generated as enrichment artifacts — they supplement the primary skill output but are not prerequisites for action completion. When a NotebookLM output is available for an action, a secondary 'Generate [Output Type]' button appears in the action result panel after the primary artifact has been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NotebookLM Output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Point</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Is Generated</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It Appears</w:t>
            </w:r>
          </w:p>
        </w:tc>
      </w:tr>
      <w:tr>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bCs/>
                <w:color w:val="444444"/>
                <w:sz w:val="20"/>
                <w:szCs w:val="20"/>
              </w:rPr>
              <w:t xml:space="preserve">Audio Overview</w:t>
            </w:r>
          </w:p>
        </w:tc>
        <w:tc>
          <w:tcPr>
            <w:tcW w:type="dxa" w:w="2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After primary artifact is complete. User clicks 'Generate Audio Overview' in result panel.</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3–5 minute spoken summary of the action's output — narrated in natural conversational style, covering key recommendations, income estimates, and next steps. Delivered as an .mp3 file.</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Inline audio player in the action result card. Downloadable. Shareable link generated for team or collaborator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Video Overview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Available for SaaS product spec (L4) and selected L5 strategy actions. Triggered manually.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short 2–4 minute screen-narrated walkthrough of the key sections of the artifact — suitable for sharing with a technical co-founder, investor, or advisor. Delivered as an .mp4 file.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Embedded video player in the action result card. Downloadable. Can be pushed to a shared Google Drive folder if connected.</w:t>
            </w:r>
          </w:p>
        </w:tc>
      </w:tr>
      <w:tr>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bCs/>
                <w:color w:val="444444"/>
                <w:sz w:val="20"/>
                <w:szCs w:val="20"/>
              </w:rPr>
              <w:t xml:space="preserve">Mind Map</w:t>
            </w:r>
          </w:p>
        </w:tc>
        <w:tc>
          <w:tcPr>
            <w:tcW w:type="dxa" w:w="2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Available for curriculum actions (L2, L3) and community flywheel (L4). Triggered manually.</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interactive or static visual mind map of the program structure, curriculum modules, or strategic plan — centered on the Expertise Zone with branches for each component. Delivered as .png and interactive HTML.</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Rendered inline as a zoomable image in the action result card. HTML version opens in a new tab. Both downloadable.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Flashcards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Available for workshop curriculum (L2), membership structure (L3), and DCA schedule (L5). Triggered manually.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deck of 15–25 study flashcards covering the key concepts, frameworks, or vocabulary from the artifact — designed for the user to internalize their own methodology or for use in teaching participants. Delivered as an interactive web widget and exportable .pdf.</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Interactive flashcard widget rendered inline. Flip-card UI. PDF export for printing or sharing with participants.</w:t>
            </w:r>
          </w:p>
        </w:tc>
      </w:tr>
      <w:tr>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bCs/>
                <w:color w:val="444444"/>
                <w:sz w:val="20"/>
                <w:szCs w:val="20"/>
              </w:rPr>
              <w:t xml:space="preserve">Report</w:t>
            </w:r>
          </w:p>
        </w:tc>
        <w:tc>
          <w:tcPr>
            <w:tcW w:type="dxa" w:w="2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Available for competitor research (L3), SEO calendar (L4), compound growth (L5), and real estate strategy (L5).</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structured 2–4 page narrative report summarizing the action's findings, recommendations, and rationale — formatted for sharing with an advisor, partner, or investor. Delivered as a .pdf via the pdf skill.</w:t>
            </w:r>
          </w:p>
        </w:tc>
        <w:tc>
          <w:tcPr>
            <w:tcW w:type="dxa" w:w="25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Displayed as a downloadable PDF link in the action result card with a preview thumbnail. Follows platform header/footer branding.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Infographic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Available for income allocation strategy (L5). Triggered manually.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single-page visual infographic showing the user's income allocation breakdown across asset classes — pie chart, flow diagram, and annotated callouts. Produced via the canvas-design skill. Delivered as .png and .pdf.</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Rendered inline as a high-resolution image in the action result card. Downloadable as both .png and .pdf. Suitable for printing or including in an investor or advisor brief.</w:t>
            </w:r>
          </w:p>
        </w:tc>
      </w:tr>
    </w:tbl>
    <w:p>
      <w:pPr>
        <w:spacing w:after="120"/>
      </w:pPr>
      <w:r>
        <w:t xml:space="preserve"/>
      </w:r>
    </w:p>
    <w:p>
      <w:r>
        <w:br w:type="page"/>
      </w:r>
    </w:p>
    <w:p>
      <w:pPr>
        <w:pStyle w:val="Heading2"/>
      </w:pPr>
      <w:r>
        <w:t xml:space="preserve">Layer 6 — All Together Now: The Autonomous Growth Orchestrator</w:t>
      </w:r>
    </w:p>
    <w:p>
      <w:pPr>
        <w:spacing w:after="120"/>
      </w:pPr>
      <w:r>
        <w:rPr>
          <w:rFonts w:ascii="Arial" w:cs="Arial" w:eastAsia="Arial" w:hAnsi="Arial"/>
          <w:color w:val="444444"/>
          <w:sz w:val="22"/>
          <w:szCs w:val="22"/>
        </w:rPr>
        <w:t xml:space="preserve">Layer 6 is not an income layer. It is the meta-layer — the orchestration intelligence that sits above all five wealth engines simultaneously, integrates their outputs, tracks real versus projected growth, and autonomously decides what to execute next. Where Layers 1–5 each operate within their own domain, Layer 6 has read and write access to every agent action, every income stream result, every artifact, and every execution status across the entire Simulation. It uses that unified view to run the optimal next action without waiting to be asked.</w:t>
      </w:r>
    </w:p>
    <w:p>
      <w:pPr>
        <w:spacing w:after="80"/>
      </w:pPr>
      <w:r>
        <w:t xml:space="preserve"/>
      </w:r>
    </w:p>
    <w:p>
      <w:pPr>
        <w:spacing w:after="120"/>
      </w:pPr>
      <w:r>
        <w:rPr>
          <w:rFonts w:ascii="Arial" w:cs="Arial" w:eastAsia="Arial" w:hAnsi="Arial"/>
          <w:color w:val="444444"/>
          <w:sz w:val="22"/>
          <w:szCs w:val="22"/>
        </w:rPr>
        <w:t xml:space="preserve">Algorithmically, Layer 6 implements three core principles from computer science applied to human wealth-building. First, Explore vs. Exploit: in early months, the orchestrator disperses execution across all five layers to discover which actions generate the highest actual yield for this specific user. As outcome data accumulates, it shifts concentration to the highest-performing engines — exploitation replaces exploration. Second, Weighted Shortest Job First scheduling: Layer 6 builds a live dependency graph across all 49 agent actions and identifies the critical path. It prioritizes the action that unblocks the most downstream work next. A Layer 1 consulting retainer that funds the Layer 3 course launch gets scheduled before the course marketing. Third, Bayesian updating: every actual result the user reports — open rates, enrollments, consulting revenue, investment returns — updates the orchestrator's probability model. Its confidence in each income stream's yield sharpens over time, and its action sequencing adapts accordingly.</w:t>
      </w:r>
    </w:p>
    <w:p>
      <w:pPr>
        <w:spacing w:after="120"/>
      </w:pPr>
      <w:r>
        <w:t xml:space="preserve"/>
      </w:r>
    </w:p>
    <w:p>
      <w:pPr>
        <w:pStyle w:val="Heading2"/>
      </w:pPr>
      <w:r>
        <w:t xml:space="preserve">6.8 Layer 6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Orchestrator Engine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persistent Claude API agent with full read access to all SimulationLayer, IncomeStream, AgentAction, and artifact records across all five layers. Runs on a configurable cadence (daily by default, adjustable to weekly). Uses tool-use mode to query live state, score actions, and dispatch the next execution batch.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Autonomy Boundary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defines sanctioned boundaries at Layer 6 setup: approved channels (email, LinkedIn, Cal.com, ConvertKit), max spend per cycle (e.g. $0 — agent uses existing paid integrations only), approved contact lists, approved platforms, and any blocked action types. The orchestrator acts freely within these bounds. Any action outside them is queued for review rather than auto-executed.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Dependency Graph</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directed acyclic graph (DAG) built from all 49 agent actions across L1–L5. Edges represent prerequisite relationships: Layer 1 outreach must generate income before Layer 3 course launch is funded; Layer 3 email list must reach a minimum size before Layer 4 funnel is viable. The orchestrator traverses the DAG and schedules the action on the critical path with the highest unblocking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Explore/Exploit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 months 1–3 (exploration phase), the orchestrator samples broadly — executing at least one action per layer per cycle to build outcome data. From month 4 onward (exploit phase), it concentrates execution on the top two layers by actual yield. The phase boundary is user-configurable and can be overridden manually.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Bayesian Outcome Tracker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Each agent action result (email reply rate, course enrollment count, consulting revenue reported, investment return) is fed back into a running probability model per income stream. The orchestrator uses these posterior estimates to rank actions by expected value. Actions with low yield and high variance are deprioritized; high-yield, high-confidence actions are escalated.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Growth Command Center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dedicated Layer 6 UI panel showing: (1) Numbers — actual income generated per layer vs. Simulation projection, running totals, velocity; (2) Actions — live execution log of what the orchestrator has done, is doing, and has queued; (3) Momentum — leading indicators per layer: email list size, LinkedIn connection growth, course waitlist count, pipeline value, funnel conversion rate, investment balance.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Execution Cycle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orchestrator runs each cycle in four steps: (1) Harvest — pull all updated outcome data from connected integrations; (2) Score — re-rank all eligible actions using the Bayesian model and dependency graph; (3) Schedule — select the top N actions within autonomy bounds and dispatch; (4) Report — write an execution summary to the Growth Command Center and the action log. N is configurable (default: 3 actions per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Escalation Protocol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Any action outside autonomy bounds is placed in an Escalation Queue visible in the Growth Command Center. The user is notified asynchronously (email + in-app). The user can approve, reject, or modify the proposed action. Approved actions are dispatched in the next cycle. The orchestrator never blocks on escalated items — it continues executing within-bounds actions.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Integration Connectors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Layer 6 reads outcome data from: Apollo (email open/reply rates), ConvertKit (subscriber count, funnel conversion), Cal.com (bookings confirmed), LinkedIn OAuth (connection count, post engagement), Stripe (revenue confirmed), Plaid/Alpaca (investment balance — fintech toggle). All connectors are the same integrations used by L1–L5 agents, sharing a single authenticated session per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Human 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user can pause the orchestrator at any time, manually promote any action to top priority, demote or permanently block any action type, adjust the autonomy boundary settings, and reset the explore/exploit phase. A full audit log of every autonomous decision is stored in the layer6_execution_log table, permanently accessible.</w:t>
            </w:r>
          </w:p>
        </w:tc>
      </w:tr>
    </w:tbl>
    <w:p>
      <w:pPr>
        <w:spacing w:after="160"/>
      </w:pPr>
      <w:r>
        <w:t xml:space="preserve"/>
      </w:r>
    </w:p>
    <w:p>
      <w:pPr>
        <w:pStyle w:val="Heading2"/>
      </w:pPr>
      <w:r>
        <w:t xml:space="preserve">6.9 Growth Command Center — UI Specification</w:t>
      </w:r>
    </w:p>
    <w:p>
      <w:pPr>
        <w:spacing w:after="120"/>
      </w:pPr>
      <w:r>
        <w:rPr>
          <w:rFonts w:ascii="Arial" w:cs="Arial" w:eastAsia="Arial" w:hAnsi="Arial"/>
          <w:color w:val="444444"/>
          <w:sz w:val="22"/>
          <w:szCs w:val="22"/>
        </w:rPr>
        <w:t xml:space="preserve">The Growth Command Center is the primary Layer 6 interface. It renders as a full-width panel at the top of the Layer 6 section within the Simulation view. It is the only place in the platform where all five wealth layers are simultaneously visible in a single screen. It is organized into three zones: Numbers, Actions, and Momentum.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Panel</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Numbers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Layer Income Tracker</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Six metric cards — one per layer (L1–L5) plus Total. Each shows: Actual Income Generated (reported by user or pulled from integration), Projected Income (from original Simulation), Variance (actual vs. projected, colored green/red), and Trend (up/down arrow based on last 3 cycles). Total card shows cumulative wealth-building progress across all layers combined.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Numbers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Velocity Gauge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single large metric showing monthly income velocity: how fast total income is growing month-over-month expressed as a percentage. Accompanied by a 6-month sparkline. This is the primary KPI of Layer 6 — the number the orchestrator is optimizing.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Numbers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Projection vs. Reality</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line chart comparing the original Simulation's projected income curve against actual reported income to date. Updated each cycle. The gap between the lines is the orchestrator's primary signal — a widening gap triggers a re-prioritization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Live Execution 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timestamped feed of every action the orchestrator has taken, is currently executing, and has queued. Each log entry shows: action name, layer, status (Dispatched / Running / Complete / Escalated), outcome if complete, and reasoning (a one-sentence Claude explanation of why this action was selected). Filterable by layer and status.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Actions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Escalation Queue</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Actions outside autonomy bounds awaiting user approval. Each shows the proposed action, the reason it exceeded autonomy bounds, the expected outcome, and Approve / Reject / Modify controls. Modifications open the standard agent prompt form for that action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Dependency Graph 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visual DAG of all 49 actions across all layers, color-coded by status (Complete = teal, In Progress = gold, Queued = grey, Blocked = red). The critical path is highlighted. Hovering any node shows its prerequisites and the actions it unblocks. This is the orchestrator's scheduling view made visible to the user.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Momentum</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Leading Indicators Panel</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Six sub-panels, one per layer: L1 (consulting pipeline value, bookings this month), L2 (cohort waitlist size, corporate outreach response rate), L3 (email list size, course enrollment count, product revenue), L4 (SEO organic sessions, funnel opt-in rate, newsletter subscribers), L5 (investment balance, DCA contributions made), L6 (orchestrator cycles run, actions dispatched this month, explore/exploit phase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Momentum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Flywheel Visualization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 animated diagram showing how income from each layer is feeding the next. Layer 1 arrows flow into Layer 2 (consulting revenue funds group program launch), Layer 2 into Layer 3 (cohort participants become course buyers), Layer 3 into Layer 4 (email list enables funnel automation), Layer 4 into Layer 5 (residual income funds investment contributions). Arrow thickness scales with actual revenue flow. This is the compounding wealth flywheel made visually explicit.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Momentum</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Next Best Action Card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persistent card at the top of the Command Center showing the single highest-priority action the orchestrator has selected for the current cycle — with a plain-language explanation of why (the Bayesian reasoning, the dependency it unblocks, the expected yield). If the action is within bounds, it shows 'Executing Now.' If escalated, it shows 'Awaiting Your Approval' with inline approve/reject controls.</w:t>
            </w:r>
          </w:p>
        </w:tc>
      </w:tr>
    </w:tbl>
    <w:p>
      <w:pPr>
        <w:spacing w:after="160"/>
      </w:pPr>
      <w:r>
        <w:t xml:space="preserve"/>
      </w:r>
    </w:p>
    <w:p>
      <w:pPr>
        <w:pStyle w:val="Heading2"/>
      </w:pPr>
      <w:r>
        <w:t xml:space="preserve">6.10 Autonomy Boundary Setup — User Onboarding Flow</w:t>
      </w:r>
    </w:p>
    <w:p>
      <w:pPr>
        <w:spacing w:after="120"/>
      </w:pPr>
      <w:r>
        <w:rPr>
          <w:rFonts w:ascii="Arial" w:cs="Arial" w:eastAsia="Arial" w:hAnsi="Arial"/>
          <w:color w:val="444444"/>
          <w:sz w:val="22"/>
          <w:szCs w:val="22"/>
        </w:rPr>
        <w:t xml:space="preserve">Before the orchestrator runs for the first time, the user completes a one-time Autonomy Boundary Setup. This is a structured configuration session — not a settings page buried in preferences, but a guided 5-step flow that runs immediately after the Simulation is created and Layer 6 is activated. The setup determines exactly what the orchestrator can do without asking.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 Area</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Decisions &amp; System Defaults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Channel Approvals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Toggle on/off: Email outreach (Apollo / direct SMTP), LinkedIn messaging, Calendar booking (Cal.com), Email funnels (ConvertKit), Content publishing (blog post drafts). Default: email and funnel channels on; LinkedIn messaging and calendar off until explicitly enabled.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Spending Guardrails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Set maximum autonomous spend per cycle: platform charges the user for any third-party costs the agent incurs (e.g. promoted LinkedIn post). Default: $0 autonomous spend — agent uses only pre-paid integrations. User can unlock up to a configurable monthly ceiling.</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Contact List Scope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Define whose contact information the orchestrator can use for outreach: existing uploaded list only, LinkedIn connections (if OAuth granted), or any researched prospect (Apollo). Default: existing uploaded list only. Broader scopes require explicit opt-in.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Blocked Action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Hard-block any action category regardless of priority score: e.g. block all financial advice actions, block all social media publishing, block all cold outreach. Blocks are permanent until manually lifted. Default: no blocks except actions requiring legal or medical sign-off (always escalated).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Execution Cadence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Set how often the orchestrator runs: daily (default), every 3 days, weekly. Set the maximum number of actions per cycle (default: 3). Set quiet hours — windows when the orchestrator will not dispatch outreach actions (e.g. no emails sent between 10pm and 7am in user's timezone).</w:t>
            </w:r>
          </w:p>
        </w:tc>
      </w:tr>
    </w:tbl>
    <w:p>
      <w:pPr>
        <w:spacing w:after="160"/>
      </w:pPr>
      <w:r>
        <w:t xml:space="preserve"/>
      </w:r>
    </w:p>
    <w:p>
      <w:pPr>
        <w:pStyle w:val="Heading2"/>
      </w:pPr>
      <w:r>
        <w:t xml:space="preserve">6.11 Layer 6 Data Models —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layer6_configs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channel_approvals (JSON), spend_ceiling (DECIMAL), contact_scope ENUM, blocked_actions (JSON), cadence ENUM, actions_per_cycle INT, quiet_hours (JSON), explore_phase_end_month INT, created_at, updated_at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Simulation. Stores the full autonomy boundary configuration. Updated whenever the user adjusts settings. explore_phase_end_month defaults to 3 (month index from Simulation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layer6_cycles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cycle_number INT, phase ENUM('explore','exploit'), actions_scored INT, actions_dispatched INT, actions_escalated INT, cycle_started_at, cycle_completed_at, orchestrator_reasoning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orchestrator execution cycle. orchestrator_reasoning is Claude's plain-language summary of its decision logic for that cycle — stored for the execution log UI and user audit trail.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layer6_action_queue</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cycle_id (CHAR 9 FK), source_layer INT, action_type VARCHAR, priority_score DECIMAL, dependency_ids (JSON), status ENUM('queued','dispatched','complete','escalated','rejected'), dispatched_at, completed_at, outcome_summary (TEXT)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Every action the orchestrator selects is written here before dispatch. dependency_ids lists the layer6_action_queue IDs that must be complete before this action can run. Forms the runtime DAG.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layer6_outcomes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layer_number INT, income_stream_id (CHAR 9 FK), reporting_month VARCHAR, actual_income DECIMAL, projected_income DECIMAL, variance DECIMAL, reported_by ENUM('user','integration'), integration_source VARCHAR,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income stream per month. actual_income sourced from user input or live integration pull. variance = actual - projected. Feeds the Bayesian model and the Projection vs. Reality chart.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layer6_momentum</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snapshot_date DATE, email_list_size INT, linkedin_connections INT, course_enrollments INT, funnel_opt_in_rate DECIMAL, seo_organic_sessions INT, newsletter_subscribers INT, pipeline_value DECIMAL, investment_balance DECIMAL, consulting_bookings_mo INT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Daily snapshot of all leading indicators. Populated each cycle by pulling from connected integrations. Powers the Momentum zone of the Growth Command Center and the sparklines.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layer6_execution_log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simulation_id (CHAR 9 FK), cycle_id (CHAR 9 FK), action_id (CHAR 9 FK), event_type ENUM('dispatched','completed','escalated','approved','rejected','overridden'), actor ENUM('orchestrator','user'), reasoning (TEXT),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Permanent immutable audit log of every orchestrator decision and user override. event_type 'overridden' records when the user manually changes the orchestrator's priority order. Never deleted.</w:t>
            </w:r>
          </w:p>
        </w:tc>
      </w:tr>
    </w:tbl>
    <w:p>
      <w:pPr>
        <w:spacing w:after="160"/>
      </w:pPr>
      <w:r>
        <w:t xml:space="preserve"/>
      </w:r>
    </w:p>
    <w:p>
      <w:pPr>
        <w:pStyle w:val="Heading2"/>
      </w:pPr>
      <w:r>
        <w:t xml:space="preserve">6.12 Layer 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/api/simulations/:id/layer6/setup</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 autonomy boundary setup — creates layer6_configs record</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current autonomy boundary configuration</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/api/simulations/:id/layer6/config</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any autonomy boundary setting — takes effect next cycle</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Manually trigger an orchestrator cycle outside the cadence schedule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/api/simulations/:id/layer6/cycles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all orchestrator cycles with reasoning and action counts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/api/simulations/:id/layer6/cycles/:cid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full detail for one cycle including all actions scored and dispatched</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/api/simulations/:id/layer6/queue</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current action queue — queued, dispatched, escalated, complete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/api/simulations/:id/layer6/escalations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all actions currently awaiting user approval</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/api/simulations/:id/layer6/escalations/:id/approve</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Approve an escalated action — dispatches in next cycle</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/api/simulations/:id/layer6/escalations/:id/reject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Reject an escalated action — adds to blocked list for this cycle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/api/simulations/:id/layer6/outcomes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all income outcome records across all layers</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/api/simulations/:id/layer6/outcomes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reports actual income for a layer/stream/month</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/api/simulations/:id/layer6/momentum</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latest momentum snapshot — all leading indicators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full immutable audit log of all orchestrator decisions and user overrides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/api/simulations/:id/layer6/dashboard</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Single endpoint returning all Growth Command Center data — numbers, actions, momentum</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/api/simulations/:id/layer6/phase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Manually override the explore/exploit phase transition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/api/simulations/:id/layer6/pause</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Pause the orchestrator — no cycles run until resumed</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/api/simulations/:id/layer6/resume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a paused orchestrator</w:t>
            </w:r>
          </w:p>
        </w:tc>
      </w:tr>
    </w:tbl>
    <w:p>
      <w:pPr>
        <w:spacing w:after="160"/>
      </w:pPr>
      <w:r>
        <w:t xml:space="preserve"/>
      </w:r>
    </w:p>
    <w:p>
      <w:pPr>
        <w:pStyle w:val="Heading2"/>
      </w:pPr>
      <w:r>
        <w:t xml:space="preserve">6.13 Layer 6 Functional Requirements</w:t>
      </w:r>
    </w:p>
    <w:p>
      <w:pPr>
        <w:spacing w:after="100"/>
      </w:pPr>
      <w:r>
        <w:rPr>
          <w:rFonts w:ascii="Arial" w:cs="Arial" w:eastAsia="Arial" w:hAnsi="Arial"/>
          <w:b/>
          <w:bCs/>
          <w:color w:val="1B3A6B"/>
          <w:sz w:val="22"/>
          <w:szCs w:val="22"/>
        </w:rPr>
        <w:t xml:space="preserve">FR-L6-01: </w:t>
      </w:r>
      <w:r>
        <w:rPr>
          <w:rFonts w:ascii="Arial" w:cs="Arial" w:eastAsia="Arial" w:hAnsi="Arial"/>
          <w:color w:val="444444"/>
          <w:sz w:val="22"/>
          <w:szCs w:val="22"/>
        </w:rPr>
        <w:t xml:space="preserve">Layer 6 is activated as an optional upgrade to any existing Simulation. Users who do not activate Layer 6 continue using Layers 1–5 independently with no change in behavior. Layer 6 activation triggers the Autonomy Boundary Setup flow before any orchestrator cycle runs.</w:t>
      </w:r>
    </w:p>
    <w:p>
      <w:pPr>
        <w:spacing w:after="100"/>
      </w:pPr>
      <w:r>
        <w:rPr>
          <w:rFonts w:ascii="Arial" w:cs="Arial" w:eastAsia="Arial" w:hAnsi="Arial"/>
          <w:b/>
          <w:bCs/>
          <w:color w:val="1B3A6B"/>
          <w:sz w:val="22"/>
          <w:szCs w:val="22"/>
        </w:rPr>
        <w:t xml:space="preserve">FR-L6-02: </w:t>
      </w:r>
      <w:r>
        <w:rPr>
          <w:rFonts w:ascii="Arial" w:cs="Arial" w:eastAsia="Arial" w:hAnsi="Arial"/>
          <w:color w:val="444444"/>
          <w:sz w:val="22"/>
          <w:szCs w:val="22"/>
        </w:rPr>
        <w:t xml:space="preserve">The orchestrator runs on a user-configured cadence (daily, every 3 days, or weekly) via a Celery scheduled task. Each cycle completes fully before the next begins. Overlapping cycles are prevented by a distributed lock on the simulation_id.</w:t>
      </w:r>
    </w:p>
    <w:p>
      <w:pPr>
        <w:spacing w:after="100"/>
      </w:pPr>
      <w:r>
        <w:rPr>
          <w:rFonts w:ascii="Arial" w:cs="Arial" w:eastAsia="Arial" w:hAnsi="Arial"/>
          <w:b/>
          <w:bCs/>
          <w:color w:val="1B3A6B"/>
          <w:sz w:val="22"/>
          <w:szCs w:val="22"/>
        </w:rPr>
        <w:t xml:space="preserve">FR-L6-03: </w:t>
      </w:r>
      <w:r>
        <w:rPr>
          <w:rFonts w:ascii="Arial" w:cs="Arial" w:eastAsia="Arial" w:hAnsi="Arial"/>
          <w:color w:val="444444"/>
          <w:sz w:val="22"/>
          <w:szCs w:val="22"/>
        </w:rPr>
        <w:t xml:space="preserve">On each cycle the orchestrator: (1) pulls updated outcome data from all connected integrations, (2) scores all eligible actions using the Bayesian model and dependency graph, (3) selects the top N actions within autonomy bounds, (4) dispatches selected actions via the same agent execution engine used by Layers 1–5, (5) places out-of-bounds actions in the Escalation Queue, (6) writes a full cycle record and reasoning summary to the execution log.</w:t>
      </w:r>
    </w:p>
    <w:p>
      <w:pPr>
        <w:spacing w:after="100"/>
      </w:pPr>
      <w:r>
        <w:rPr>
          <w:rFonts w:ascii="Arial" w:cs="Arial" w:eastAsia="Arial" w:hAnsi="Arial"/>
          <w:b/>
          <w:bCs/>
          <w:color w:val="1B3A6B"/>
          <w:sz w:val="22"/>
          <w:szCs w:val="22"/>
        </w:rPr>
        <w:t xml:space="preserve">FR-L6-04: </w:t>
      </w:r>
      <w:r>
        <w:rPr>
          <w:rFonts w:ascii="Arial" w:cs="Arial" w:eastAsia="Arial" w:hAnsi="Arial"/>
          <w:color w:val="444444"/>
          <w:sz w:val="22"/>
          <w:szCs w:val="22"/>
        </w:rPr>
        <w:t xml:space="preserve">The Explore vs. Exploit phase transition occurs automatically at the month defined in layer6_configs.explore_phase_end_month (default: month 3). During exploration, the orchestrator ensures at least one action is sampled from each of the five layers per cycle regardless of score ranking. During exploitation, actions are selected purely by expected value score with no layer diversity constraint.</w:t>
      </w:r>
    </w:p>
    <w:p>
      <w:pPr>
        <w:spacing w:after="100"/>
      </w:pPr>
      <w:r>
        <w:rPr>
          <w:rFonts w:ascii="Arial" w:cs="Arial" w:eastAsia="Arial" w:hAnsi="Arial"/>
          <w:b/>
          <w:bCs/>
          <w:color w:val="1B3A6B"/>
          <w:sz w:val="22"/>
          <w:szCs w:val="22"/>
        </w:rPr>
        <w:t xml:space="preserve">FR-L6-05: </w:t>
      </w:r>
      <w:r>
        <w:rPr>
          <w:rFonts w:ascii="Arial" w:cs="Arial" w:eastAsia="Arial" w:hAnsi="Arial"/>
          <w:color w:val="444444"/>
          <w:sz w:val="22"/>
          <w:szCs w:val="22"/>
        </w:rPr>
        <w:t xml:space="preserve">The dependency graph is rebuilt at the start of every cycle from the current state of all agent_actions records. An action is eligible for scheduling only if all its prerequisite actions have status 'complete'. Circular dependencies are detected and flagged in the cycle log — they do not cause an error but are surfaced to the user as a configuration warning.</w:t>
      </w:r>
    </w:p>
    <w:p>
      <w:pPr>
        <w:spacing w:after="100"/>
      </w:pPr>
      <w:r>
        <w:rPr>
          <w:rFonts w:ascii="Arial" w:cs="Arial" w:eastAsia="Arial" w:hAnsi="Arial"/>
          <w:b/>
          <w:bCs/>
          <w:color w:val="1B3A6B"/>
          <w:sz w:val="22"/>
          <w:szCs w:val="22"/>
        </w:rPr>
        <w:t xml:space="preserve">FR-L6-06: </w:t>
      </w:r>
      <w:r>
        <w:rPr>
          <w:rFonts w:ascii="Arial" w:cs="Arial" w:eastAsia="Arial" w:hAnsi="Arial"/>
          <w:color w:val="444444"/>
          <w:sz w:val="22"/>
          <w:szCs w:val="22"/>
        </w:rPr>
        <w:t xml:space="preserve">Actual income outcomes can be reported by the user (manual entry via POST /layer6/outcomes) or pulled automatically from connected integrations (Stripe for direct revenue, Plaid/Alpaca for investment balance when fintech toggle is on). User-reported values take precedence over integration-pulled values for the same period.</w:t>
      </w:r>
    </w:p>
    <w:p>
      <w:pPr>
        <w:spacing w:after="100"/>
      </w:pPr>
      <w:r>
        <w:rPr>
          <w:rFonts w:ascii="Arial" w:cs="Arial" w:eastAsia="Arial" w:hAnsi="Arial"/>
          <w:b/>
          <w:bCs/>
          <w:color w:val="1B3A6B"/>
          <w:sz w:val="22"/>
          <w:szCs w:val="22"/>
        </w:rPr>
        <w:t xml:space="preserve">FR-L6-07: </w:t>
      </w:r>
      <w:r>
        <w:rPr>
          <w:rFonts w:ascii="Arial" w:cs="Arial" w:eastAsia="Arial" w:hAnsi="Arial"/>
          <w:color w:val="444444"/>
          <w:sz w:val="22"/>
          <w:szCs w:val="22"/>
        </w:rPr>
        <w:t xml:space="preserve">The Bayesian model maintains a running probability distribution for each income stream's expected monthly yield. Prior is initialized from the Simulation's projected income range at generation time. Posterior is updated on each cycle as new outcome data arrives. The orchestrator's action priority score is the product of the income stream's posterior expected yield and the action's estimated contribution to that yield.</w:t>
      </w:r>
    </w:p>
    <w:p>
      <w:pPr>
        <w:spacing w:after="100"/>
      </w:pPr>
      <w:r>
        <w:rPr>
          <w:rFonts w:ascii="Arial" w:cs="Arial" w:eastAsia="Arial" w:hAnsi="Arial"/>
          <w:b/>
          <w:bCs/>
          <w:color w:val="1B3A6B"/>
          <w:sz w:val="22"/>
          <w:szCs w:val="22"/>
        </w:rPr>
        <w:t xml:space="preserve">FR-L6-08: </w:t>
      </w:r>
      <w:r>
        <w:rPr>
          <w:rFonts w:ascii="Arial" w:cs="Arial" w:eastAsia="Arial" w:hAnsi="Arial"/>
          <w:color w:val="444444"/>
          <w:sz w:val="22"/>
          <w:szCs w:val="22"/>
        </w:rPr>
        <w:t xml:space="preserve">The Growth Command Center dashboard is served by a single API endpoint (/layer6/dashboard) that assembles all three zones — Numbers, Actions, Momentum — in one response. The frontend renders it without additional requests. The dashboard refreshes automatically after each completed orchestrator cycle via SSE push.</w:t>
      </w:r>
    </w:p>
    <w:p>
      <w:pPr>
        <w:spacing w:after="100"/>
      </w:pPr>
      <w:r>
        <w:rPr>
          <w:rFonts w:ascii="Arial" w:cs="Arial" w:eastAsia="Arial" w:hAnsi="Arial"/>
          <w:b/>
          <w:bCs/>
          <w:color w:val="1B3A6B"/>
          <w:sz w:val="22"/>
          <w:szCs w:val="22"/>
        </w:rPr>
        <w:t xml:space="preserve">FR-L6-09: </w:t>
      </w:r>
      <w:r>
        <w:rPr>
          <w:rFonts w:ascii="Arial" w:cs="Arial" w:eastAsia="Arial" w:hAnsi="Arial"/>
          <w:color w:val="444444"/>
          <w:sz w:val="22"/>
          <w:szCs w:val="22"/>
        </w:rPr>
        <w:t xml:space="preserve">The layer6_execution_log is immutable. Records are never updated or deleted. All orchestrator decisions and all user overrides are written as new records with full context. The log is accessible to the user at all times and serves as the complete audit trail of how the orchestrator has managed their wealth-building plan.</w:t>
      </w:r>
    </w:p>
    <w:p>
      <w:pPr>
        <w:spacing w:after="100"/>
      </w:pPr>
      <w:r>
        <w:rPr>
          <w:rFonts w:ascii="Arial" w:cs="Arial" w:eastAsia="Arial" w:hAnsi="Arial"/>
          <w:b/>
          <w:bCs/>
          <w:color w:val="1B3A6B"/>
          <w:sz w:val="22"/>
          <w:szCs w:val="22"/>
        </w:rPr>
        <w:t xml:space="preserve">FR-L6-10: </w:t>
      </w:r>
      <w:r>
        <w:rPr>
          <w:rFonts w:ascii="Arial" w:cs="Arial" w:eastAsia="Arial" w:hAnsi="Arial"/>
          <w:color w:val="444444"/>
          <w:sz w:val="22"/>
          <w:szCs w:val="22"/>
        </w:rPr>
        <w:t xml:space="preserve">The orchestrator never sends outreach emails, publishes content, or initiates payments outside of quiet hours defined in the autonomy boundary configuration. Quiet hours apply to dispatch time, not scheduling time — an action may be scheduled during quiet hours but will not be dispatched until the quiet window closes.</w:t>
      </w:r>
    </w:p>
    <w:p>
      <w:pPr>
        <w:spacing w:after="100"/>
      </w:pPr>
      <w:r>
        <w:rPr>
          <w:rFonts w:ascii="Arial" w:cs="Arial" w:eastAsia="Arial" w:hAnsi="Arial"/>
          <w:b/>
          <w:bCs/>
          <w:color w:val="1B3A6B"/>
          <w:sz w:val="22"/>
          <w:szCs w:val="22"/>
        </w:rPr>
        <w:t xml:space="preserve">FR-L6-11: </w:t>
      </w:r>
      <w:r>
        <w:rPr>
          <w:rFonts w:ascii="Arial" w:cs="Arial" w:eastAsia="Arial" w:hAnsi="Arial"/>
          <w:color w:val="444444"/>
          <w:sz w:val="22"/>
          <w:szCs w:val="22"/>
        </w:rPr>
        <w:t xml:space="preserve">If the orchestrator detects that the projection vs. reality gap has widened beyond a configurable threshold (default: actual income is less than 60% of projected for two consecutive months), it triggers a Re-Calibration Event. It runs a full re-scoring of all income streams using updated posterior estimates and generates a plain-language Re-Calibration Report delivered to the Growth Command Center explaining what has changed and what the new priority sequence is.</w:t>
      </w:r>
    </w:p>
    <w:p>
      <w:pPr>
        <w:spacing w:after="100"/>
      </w:pPr>
      <w:r>
        <w:rPr>
          <w:rFonts w:ascii="Arial" w:cs="Arial" w:eastAsia="Arial" w:hAnsi="Arial"/>
          <w:b/>
          <w:bCs/>
          <w:color w:val="1B3A6B"/>
          <w:sz w:val="22"/>
          <w:szCs w:val="22"/>
        </w:rPr>
        <w:t xml:space="preserve">FR-L6-12: </w:t>
      </w:r>
      <w:r>
        <w:rPr>
          <w:rFonts w:ascii="Arial" w:cs="Arial" w:eastAsia="Arial" w:hAnsi="Arial"/>
          <w:color w:val="444444"/>
          <w:sz w:val="22"/>
          <w:szCs w:val="22"/>
        </w:rPr>
        <w:t xml:space="preserve">Layer 6 updates the existing action summary table in Section 6.6 — L6 adds 18 orchestrator management endpoints and the five new data tables. Total agent-accessible actions across all layers: L1 (11) + L2 (8) + L3 (10) + L4 (10) + L5 (10) + L6 orchestration (continuous) = 49 discrete actions plus the autonomous orchestration engine running above them.</w:t>
      </w:r>
    </w:p>
    <w:p>
      <w:pPr>
        <w:spacing w:after="120"/>
      </w:pPr>
      <w:r>
        <w:t xml:space="preserve"/>
      </w:r>
    </w:p>
    <w:p>
      <w:r>
        <w:br w:type="page"/>
      </w:r>
    </w:p>
    <w:p>
      <w:pPr>
        <w:pStyle w:val="Heading1"/>
      </w:pPr>
      <w:r>
        <w:t xml:space="preserve">7. Data Models (SQLAlchemy / MySQL)</w:t>
      </w:r>
    </w:p>
    <w:p>
      <w:pPr>
        <w:pStyle w:val="Heading2"/>
      </w:pPr>
      <w:r>
        <w:t xml:space="preserve">7.1 ID Generation Standard — All Tables</w:t>
      </w:r>
    </w:p>
    <w:p>
      <w:pPr>
        <w:spacing w:after="120"/>
      </w:pPr>
      <w:r>
        <w:rPr>
          <w:rFonts w:ascii="Arial" w:cs="Arial" w:eastAsia="Arial" w:hAnsi="Arial"/>
          <w:color w:val="444444"/>
          <w:sz w:val="22"/>
          <w:szCs w:val="22"/>
        </w:rPr>
        <w:t xml:space="preserve">Every primary key across all database tables is a generated 9-character alphanumeric string (CHAR(9)), not an auto-incrementing integer. The ID is generated at the application layer before INSERT using a cryptographically secure random function drawing from uppercase letters, lowercase letters, and digits (62-character alphabet). This applies to all id columns and all foreign key references.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Type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CHAR(9) — fixed-length, NOT NULL,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Alphabet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A-Z, a-z, 0-9 — 62 characters total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Length</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9 characters — 62^9 = ~13.5 trillion unique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secrets.token_urlsafe() sliced and filtered at application layer (Python)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Collision check</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SELECT COUNT(*) before INSERT. Regenerate on collision (astronomically rare).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Foreign keys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All FK columns are also CHAR(9), indexed. No integer sequences anywhere in schema.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Example value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A3x9Kq2Rp, mB7nPw4Tz, Zr1Ys6Jd8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1"/>
              <w:left w:val="single" w:color="1B2B3B" w:sz="1"/>
              <w:bottom w:val="single" w:color="1B2B3B" w:sz="1"/>
              <w:right w:val="single" w:color="1B2B3B" w:sz="1"/>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utils/id_gen.py — 9-character alphanumeric ID generator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import secrets, string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ALPHABET = string.ascii_letters + string.digits  # 62 chars: A-Z a-z 0-9</w:t>
            </w:r>
          </w:p>
          <w:p>
            <w:pPr>
              <w:spacing w:after="0"/>
            </w:pPr>
            <w:r>
              <w:rPr>
                <w:rFonts w:ascii="Courier New" w:cs="Courier New" w:eastAsia="Courier New" w:hAnsi="Courier New"/>
                <w:color w:val="A8D8A8"/>
                <w:sz w:val="17"/>
                <w:szCs w:val="17"/>
              </w:rPr>
              <w:t xml:space="preserve">ID_LENGTH = 9</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generate_id() -&gt; str:</w:t>
            </w:r>
          </w:p>
          <w:p>
            <w:pPr>
              <w:spacing w:after="0"/>
            </w:pPr>
            <w:r>
              <w:rPr>
                <w:rFonts w:ascii="Courier New" w:cs="Courier New" w:eastAsia="Courier New" w:hAnsi="Courier New"/>
                <w:color w:val="A8D8A8"/>
                <w:sz w:val="17"/>
                <w:szCs w:val="17"/>
              </w:rPr>
              <w:t xml:space="preserve">    """Return a cryptographically random 9-character alphanumeric string."""</w:t>
            </w:r>
          </w:p>
          <w:p>
            <w:pPr>
              <w:spacing w:after="0"/>
            </w:pPr>
            <w:r>
              <w:rPr>
                <w:rFonts w:ascii="Courier New" w:cs="Courier New" w:eastAsia="Courier New" w:hAnsi="Courier New"/>
                <w:color w:val="A8D8A8"/>
                <w:sz w:val="17"/>
                <w:szCs w:val="17"/>
              </w:rPr>
              <w:t xml:space="preserve">    return ''.join(secrets.choice(ALPHABET) for _ in range(ID_LENGTH))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Usage in SQLAlchemy model (all tables follow this pattern):</w:t>
            </w:r>
          </w:p>
          <w:p>
            <w:pPr>
              <w:spacing w:after="0"/>
            </w:pPr>
            <w:r>
              <w:rPr>
                <w:rFonts w:ascii="Courier New" w:cs="Courier New" w:eastAsia="Courier New" w:hAnsi="Courier New"/>
                <w:color w:val="A8D8A8"/>
                <w:sz w:val="17"/>
                <w:szCs w:val="17"/>
              </w:rPr>
              <w:t xml:space="preserve">from utils.id_gen import generate_id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User(db.Model):</w:t>
            </w:r>
          </w:p>
          <w:p>
            <w:pPr>
              <w:spacing w:after="0"/>
            </w:pPr>
            <w:r>
              <w:rPr>
                <w:rFonts w:ascii="Courier New" w:cs="Courier New" w:eastAsia="Courier New" w:hAnsi="Courier New"/>
                <w:color w:val="A8D8A8"/>
                <w:sz w:val="17"/>
                <w:szCs w:val="17"/>
              </w:rPr>
              <w:t xml:space="preserve">    __tablename__ = 'users'</w:t>
            </w:r>
          </w:p>
          <w:p>
            <w:pPr>
              <w:spacing w:after="0"/>
            </w:pPr>
            <w:r>
              <w:rPr>
                <w:rFonts w:ascii="Courier New" w:cs="Courier New" w:eastAsia="Courier New" w:hAnsi="Courier New"/>
                <w:color w:val="A8D8A8"/>
                <w:sz w:val="17"/>
                <w:szCs w:val="17"/>
              </w:rPr>
              <w:t xml:space="preserve">    id = db.Column(db.CHAR(9), primary_key=True, default=generate_id, nullable=False)</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Simulation(db.Model):</w:t>
            </w:r>
          </w:p>
          <w:p>
            <w:pPr>
              <w:spacing w:after="0"/>
            </w:pPr>
            <w:r>
              <w:rPr>
                <w:rFonts w:ascii="Courier New" w:cs="Courier New" w:eastAsia="Courier New" w:hAnsi="Courier New"/>
                <w:color w:val="A8D8A8"/>
                <w:sz w:val="17"/>
                <w:szCs w:val="17"/>
              </w:rPr>
              <w:t xml:space="preserve">    __tablename__ = 'simulations'</w:t>
            </w:r>
          </w:p>
          <w:p>
            <w:pPr>
              <w:spacing w:after="0"/>
            </w:pPr>
            <w:r>
              <w:rPr>
                <w:rFonts w:ascii="Courier New" w:cs="Courier New" w:eastAsia="Courier New" w:hAnsi="Courier New"/>
                <w:color w:val="A8D8A8"/>
                <w:sz w:val="17"/>
                <w:szCs w:val="17"/>
              </w:rPr>
              <w:t xml:space="preserve">    id        = db.Column(db.CHAR(9), primary_key=True, default=generate_id, nullable=False)</w:t>
            </w:r>
          </w:p>
          <w:p>
            <w:pPr>
              <w:spacing w:after="0"/>
            </w:pPr>
            <w:r>
              <w:rPr>
                <w:rFonts w:ascii="Courier New" w:cs="Courier New" w:eastAsia="Courier New" w:hAnsi="Courier New"/>
                <w:color w:val="A8D8A8"/>
                <w:sz w:val="17"/>
                <w:szCs w:val="17"/>
              </w:rPr>
              <w:t xml:space="preserve">    user_id   = db.Column(db.CHAR(9), db.ForeignKey('users.id'), nullable=False)</w:t>
            </w:r>
          </w:p>
          <w:p>
            <w:pPr>
              <w:spacing w:after="0"/>
            </w:pPr>
            <w:r>
              <w:rPr>
                <w:rFonts w:ascii="Courier New" w:cs="Courier New" w:eastAsia="Courier New" w:hAnsi="Courier New"/>
                <w:color w:val="A8D8A8"/>
                <w:sz w:val="17"/>
                <w:szCs w:val="17"/>
              </w:rPr>
              <w:t xml:space="preserve">    resume_id = db.Column(db.CHAR(9), db.ForeignKey('resumes.id'), nullable=False)</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MySQL DDL equivalent:</w:t>
            </w:r>
          </w:p>
          <w:p>
            <w:pPr>
              <w:spacing w:after="0"/>
            </w:pPr>
            <w:r>
              <w:rPr>
                <w:rFonts w:ascii="Courier New" w:cs="Courier New" w:eastAsia="Courier New" w:hAnsi="Courier New"/>
                <w:color w:val="A8D8A8"/>
                <w:sz w:val="17"/>
                <w:szCs w:val="17"/>
              </w:rPr>
              <w:t xml:space="preserve"># id CHAR(9) NOT NULL PRIMARY KEY  -- no AUTO_INCREMENT</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FOREIGN KEY (user_id) REFERENCES users(id)</w:t>
            </w:r>
          </w:p>
        </w:tc>
      </w:tr>
    </w:tbl>
    <w:p>
      <w:pPr>
        <w:spacing w:after="140"/>
      </w:pPr>
      <w:r>
        <w:t xml:space="preserve"/>
      </w:r>
    </w:p>
    <w:p>
      <w:pPr>
        <w:pStyle w:val="Heading2"/>
      </w:pPr>
      <w:r>
        <w:t xml:space="preserve">7.2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users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email, password_hash, full_name, created_at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is a generated 9-character alphanumeric string (e.g. 'A3x9Kq2Rp'). No integer sequence. Billing is per-Simulation via Stripe.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resumes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user_id (CHAR 9, FK), label, file_path, file_type, source, parsed_text, expertise_zones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All FK references are CHAR(9). source = 'upload' | 'linkedin'. expertise_zones is a JSON cache of Claude extraction results.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user_id (CHAR 9, FK), resume_id (CHAR 9, FK), name, focus_hint, expertise_zone, status, stripe_payment_intent_id</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status: pending | processing | streaming | complete | error | refunded.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simulation_layers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layer_number, layer_name, income_type, income_streams, ai_narrative, priority_score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income_streams is a JSON array of stream objects, each including ai_reasoning field.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income_streams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layer_id (CHAR 9, FK), name, description, platform, est_monthly_low, est_monthly_high, ai_reasoning, deliverable_refs, automation_level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ai_reasoning is a TEXT field containing Claude's explanation for this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collaborations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invitee_email, permission_level, share_token, expires_at, accepted_at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permission_level: viewer | commenter | editor. Token used for share link auth.</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collab_activities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collaborator_id (CHAR 9, FK), activity_type, layer_number, content, created_at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activity_type: comment | refinement_request |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platform_settings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key, value, updated_by (CHAR 9, FK), updated_at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Stores admin-controlled feature flags and pricing. Keys include: simulation_price (decimal, default 10.00), fintech_toggle (on/off). All changes take effect immediately without redeployment.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ai_interactions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user_id (CHAR 9, FK), simulation_id (CHAR 9, FK), interaction_type, prompt_tokens, completion_tokens, model, created_at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interaction_type: zone_extract | layer_generate | layer_refine.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audit_logs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user_id (CHAR 9, FK), action, resource_id (CHAR 9), metadata, created_at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activity audit trail. resource_id is CHAR(9) referencing any entity table.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agent_actions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layer_number, action_type, status, input_context, output_artifact, executed_at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status: pending | running | complete | failed. input_context stores collected prompt answers (JSON). output_artifact is TEXT or a file path for downloadable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agent_context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layer_number, context_key, context_value, updated_at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Persists user-supplied prompt answers per layer so they are reused across agent action executions without re-prompting.</w:t>
            </w:r>
          </w:p>
        </w:tc>
      </w:tr>
    </w:tbl>
    <w:p>
      <w:r>
        <w:br w:type="page"/>
      </w:r>
    </w:p>
    <w:p>
      <w:pPr>
        <w:pStyle w:val="Heading1"/>
      </w:pPr>
      <w:r>
        <w:t xml:space="preserve">8. API Design (Flask REST)</w:t>
      </w:r>
    </w:p>
    <w:p>
      <w:pPr>
        <w:pStyle w:val="Heading3"/>
      </w:pPr>
      <w: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/api/auth/register</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Create user account, trigger verification email</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/api/auth/login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Authenticate, return JWT (7-day expiry)</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/api/auth/logout</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Invalidate session token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/api/auth/reset-password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Send tokenized password reset email</w:t>
            </w:r>
          </w:p>
        </w:tc>
      </w:tr>
    </w:tbl>
    <w:p>
      <w:pPr>
        <w:spacing w:after="120"/>
      </w:pPr>
      <w:r>
        <w:t xml:space="preserve"/>
      </w:r>
    </w:p>
    <w:p>
      <w:pPr>
        <w:pStyle w:val="Heading3"/>
      </w:pPr>
      <w:r>
        <w:t xml:space="preserve">8.2 Resumes &amp;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/api/resumes/upload</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Upload PDF or DOCX resume (multipart/form-data)</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/api/resumes/linkedin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Initiate LinkedIn OAuth and crawl profile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user's resumes and LinkedIn imports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parsed text and cached expertise zones</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/api/resumes/:id</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parsed text (user edits before analysis)</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/api/resumes/:id/extract-zones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Trigger or refresh Claude expertise zone extraction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/api/resumes/:id/linkedin-sync</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Re-crawl LinkedIn to capture profile updates</w:t>
            </w:r>
          </w:p>
        </w:tc>
      </w:tr>
      <w:tr>
        <w:tc>
          <w:tcPr>
            <w:tcW w:type="dxa" w:w="1000"/>
            <w:tcBorders>
              <w:top w:val="single" w:color="CCCCCC" w:sz="1"/>
              <w:left w:val="single" w:color="CCCCCC" w:sz="1"/>
              <w:bottom w:val="single" w:color="CCCCCC" w:sz="1"/>
              <w:right w:val="single" w:color="CCCCCC" w:sz="1"/>
            </w:tcBorders>
            <w:shd w:fill="F5D6D6" w:val="clear"/>
            <w:tcMar>
              <w:top w:type="dxa" w:w="80"/>
              <w:left w:type="dxa" w:w="120"/>
              <w:bottom w:type="dxa" w:w="80"/>
              <w:right w:type="dxa" w:w="120"/>
            </w:tcMar>
            <w:vAlign w:val="top"/>
          </w:tcPr>
          <w:p>
            <w:r>
              <w:rPr>
                <w:rFonts w:ascii="Arial" w:cs="Arial" w:eastAsia="Arial" w:hAnsi="Arial"/>
                <w:b/>
                <w:bCs/>
                <w:color w:val="444444"/>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/api/resumes/:id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Delete resume/LinkedIn import and cascade</w:t>
            </w:r>
          </w:p>
        </w:tc>
      </w:tr>
    </w:tbl>
    <w:p>
      <w:pPr>
        <w:spacing w:after="120"/>
      </w:pPr>
      <w:r>
        <w:t xml:space="preserve"/>
      </w:r>
    </w:p>
    <w:p>
      <w:pPr>
        <w:pStyle w:val="Heading3"/>
      </w:pPr>
      <w:r>
        <w:t xml:space="preserve">8.3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Create Simulation — triggers Stripe charge at current configured price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user's Simulations (owned + shared)</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full Simulation with all layers and AI reasoning</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/api/simulations/:id/stream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SSE endpoint — streams layer generation in real time</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/api/simulations/:id/name</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Rename Simulation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/api/simulations/:id/layers/:num/refine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Regenerate one layer with new constraint (free)</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/api/simulations/:id/export</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Generate PDF export of Simulation</w:t>
            </w:r>
          </w:p>
        </w:tc>
      </w:tr>
      <w:tr>
        <w:tc>
          <w:tcPr>
            <w:tcW w:type="dxa" w:w="1000"/>
            <w:tcBorders>
              <w:top w:val="single" w:color="CCCCCC" w:sz="1"/>
              <w:left w:val="single" w:color="CCCCCC" w:sz="1"/>
              <w:bottom w:val="single" w:color="CCCCCC" w:sz="1"/>
              <w:right w:val="single" w:color="CCCCCC" w:sz="1"/>
            </w:tcBorders>
            <w:shd w:fill="F5D6D6" w:val="clear"/>
            <w:tcMar>
              <w:top w:type="dxa" w:w="80"/>
              <w:left w:type="dxa" w:w="120"/>
              <w:bottom w:type="dxa" w:w="80"/>
              <w:right w:type="dxa" w:w="120"/>
            </w:tcMar>
            <w:vAlign w:val="top"/>
          </w:tcPr>
          <w:p>
            <w:r>
              <w:rPr>
                <w:rFonts w:ascii="Arial" w:cs="Arial" w:eastAsia="Arial" w:hAnsi="Arial"/>
                <w:b/>
                <w:bCs/>
                <w:color w:val="444444"/>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Delete Simulation and all layers</w:t>
            </w:r>
          </w:p>
        </w:tc>
      </w:tr>
    </w:tbl>
    <w:p>
      <w:pPr>
        <w:spacing w:after="120"/>
      </w:pPr>
      <w:r>
        <w:t xml:space="preserve"/>
      </w:r>
    </w:p>
    <w:p>
      <w:pPr>
        <w:pStyle w:val="Heading3"/>
      </w:pPr>
      <w:r>
        <w:t xml:space="preserve">8.4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/api/simulations/:id/collaborators</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Invite collaborator by email with permission level</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/api/simulations/:id/collaborators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collaborators and their permission levels</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/api/simulations/:id/collaborators/:cid</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collaborator permission level</w:t>
            </w:r>
          </w:p>
        </w:tc>
      </w:tr>
      <w:tr>
        <w:tc>
          <w:tcPr>
            <w:tcW w:type="dxa" w:w="1000"/>
            <w:tcBorders>
              <w:top w:val="single" w:color="CCCCCC" w:sz="1"/>
              <w:left w:val="single" w:color="CCCCCC" w:sz="1"/>
              <w:bottom w:val="single" w:color="CCCCCC" w:sz="1"/>
              <w:right w:val="single" w:color="CCCCCC" w:sz="1"/>
            </w:tcBorders>
            <w:shd w:fill="F5D6D6" w:val="clear"/>
            <w:tcMar>
              <w:top w:type="dxa" w:w="80"/>
              <w:left w:type="dxa" w:w="120"/>
              <w:bottom w:type="dxa" w:w="80"/>
              <w:right w:type="dxa" w:w="120"/>
            </w:tcMar>
            <w:vAlign w:val="top"/>
          </w:tcPr>
          <w:p>
            <w:r>
              <w:rPr>
                <w:rFonts w:ascii="Arial" w:cs="Arial" w:eastAsia="Arial" w:hAnsi="Arial"/>
                <w:b/>
                <w:bCs/>
                <w:color w:val="444444"/>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/api/simulations/:id/collaborators/:cid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Revoke collaborator access</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/api/simulations/:id/activities</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Add comment or refinement request (collaborator)</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/api/simulations/:id/activities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collaboration activity log</w:t>
            </w:r>
          </w:p>
        </w:tc>
      </w:tr>
    </w:tbl>
    <w:p>
      <w:pPr>
        <w:spacing w:after="120"/>
      </w:pPr>
      <w:r>
        <w:t xml:space="preserve"/>
      </w:r>
    </w:p>
    <w:p>
      <w:pPr>
        <w:pStyle w:val="Heading3"/>
      </w:pPr>
      <w:r>
        <w:t xml:space="preserve">8.5 Admin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/api/admin/settings</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all platform_settings key-value pairs</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/api/admin/settings/:key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a platform setting (e.g., simulation_price, fintech_toggle)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/api/admin/settings/simulation_price</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current Simulation price and full price change history</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/api/admin/settings/simulation_price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Set new Simulation price — takes effect immediately for all new checkouts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/api/admin/revenue</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Revenue dashboard — daily totals, per-user spend, refund rate, price change audit trail</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/api/user/profile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Get user profile and spend summary</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/api/user/profile</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name and preferences</w:t>
            </w:r>
          </w:p>
        </w:tc>
      </w:tr>
    </w:tbl>
    <w:p>
      <w:pPr>
        <w:spacing w:after="120"/>
      </w:pPr>
      <w:r>
        <w:t xml:space="preserve"/>
      </w:r>
    </w:p>
    <w:p>
      <w:r>
        <w:br w:type="page"/>
      </w:r>
    </w:p>
    <w:p>
      <w:pPr>
        <w:pStyle w:val="Heading1"/>
      </w:pPr>
      <w:r>
        <w:t xml:space="preserve">9. Claude API Integration</w:t>
      </w:r>
    </w:p>
    <w:p>
      <w:pPr>
        <w:spacing w:after="120"/>
      </w:pPr>
      <w:r>
        <w:rPr>
          <w:rFonts w:ascii="Arial" w:cs="Arial" w:eastAsia="Arial" w:hAnsi="Arial"/>
          <w:color w:val="444444"/>
          <w:sz w:val="22"/>
          <w:szCs w:val="22"/>
        </w:rPr>
        <w:t xml:space="preserve">All Claude interactions use the claude-sonnet-4-20250514 model. Prompts are engineered to return strict JSON with no markdown fences. All interactions are logged in the ai_interactions table for token monitoring and cost control.</w:t>
      </w:r>
    </w:p>
    <w:p>
      <w:pPr>
        <w:spacing w:after="100"/>
      </w:pPr>
      <w:r>
        <w:t xml:space="preserve"/>
      </w:r>
    </w:p>
    <w:p>
      <w:pPr>
        <w:pStyle w:val="Heading2"/>
      </w:pPr>
      <w:r>
        <w:t xml:space="preserve">9.1 Interaction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Interaction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to User</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Zone Extraction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 LinkedIn upload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Free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Result cached in resume.expertise_zones. Re-called only if parsed_text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Full 5-Layer 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Simulation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Configured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Streamed via SSE. Each layer pushed to client as completed. Includes ai_reasoning per stream.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Layer Refinement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refines one layer</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Free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Sends original zone context + new constraint. Only that layer's record is overwritten.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LinkedIn Normalize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crawl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Short Claude call to normalize crawled text into standard resume schema before zone extraction.</w:t>
            </w:r>
          </w:p>
        </w:tc>
      </w:tr>
    </w:tbl>
    <w:p>
      <w:pPr>
        <w:spacing w:after="120"/>
      </w:pPr>
      <w:r>
        <w:t xml:space="preserve"/>
      </w:r>
    </w:p>
    <w:p>
      <w:pPr>
        <w:pStyle w:val="Heading2"/>
      </w:pPr>
      <w:r>
        <w:t xml:space="preserve">9.2 AI Reasoning — Income Stream Display</w:t>
      </w:r>
    </w:p>
    <w:p>
      <w:pPr>
        <w:spacing w:after="120"/>
      </w:pPr>
      <w:r>
        <w:rPr>
          <w:rFonts w:ascii="Arial" w:cs="Arial" w:eastAsia="Arial" w:hAnsi="Arial"/>
          <w:color w:val="444444"/>
          <w:sz w:val="22"/>
          <w:szCs w:val="22"/>
        </w:rPr>
        <w:t xml:space="preserve">Every Income Stream returned by Claude includes an ai_reasoning field. This field contains Claude's explanation of why this specific stream was recommended for this user. The UI surfaces this inline below each Income Stream card. Example structure of the returned JSON for a single Income Stream: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1"/>
              <w:left w:val="single" w:color="1B2B3B" w:sz="1"/>
              <w:bottom w:val="single" w:color="1B2B3B" w:sz="1"/>
              <w:right w:val="single" w:color="1B2B3B" w:sz="1"/>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{"id": "mB7nPw4Tz",</w:t>
            </w:r>
          </w:p>
          <w:p>
            <w:pPr>
              <w:spacing w:after="0"/>
            </w:pPr>
            <w:r>
              <w:rPr>
                <w:rFonts w:ascii="Courier New" w:cs="Courier New" w:eastAsia="Courier New" w:hAnsi="Courier New"/>
                <w:color w:val="A8D8A8"/>
                <w:sz w:val="17"/>
                <w:szCs w:val="17"/>
              </w:rPr>
              <w:t xml:space="preserve"> "name": "Enterprise Data Architecture Masterclass",</w:t>
            </w:r>
          </w:p>
          <w:p>
            <w:pPr>
              <w:spacing w:after="0"/>
            </w:pPr>
            <w:r>
              <w:rPr>
                <w:rFonts w:ascii="Courier New" w:cs="Courier New" w:eastAsia="Courier New" w:hAnsi="Courier New"/>
                <w:color w:val="A8D8A8"/>
                <w:sz w:val="17"/>
                <w:szCs w:val="17"/>
              </w:rPr>
              <w:t xml:space="preserve"> "description": "8-week live cohort teaching senior engineers data mesh and lakehouse patterns.",</w:t>
            </w:r>
          </w:p>
          <w:p>
            <w:pPr>
              <w:spacing w:after="0"/>
            </w:pPr>
            <w:r>
              <w:rPr>
                <w:rFonts w:ascii="Courier New" w:cs="Courier New" w:eastAsia="Courier New" w:hAnsi="Courier New"/>
                <w:color w:val="A8D8A8"/>
                <w:sz w:val="17"/>
                <w:szCs w:val="17"/>
              </w:rPr>
              <w:t xml:space="preserve"> "platform": "Maven",</w:t>
            </w:r>
          </w:p>
          <w:p>
            <w:pPr>
              <w:spacing w:after="0"/>
            </w:pPr>
            <w:r>
              <w:rPr>
                <w:rFonts w:ascii="Courier New" w:cs="Courier New" w:eastAsia="Courier New" w:hAnsi="Courier New"/>
                <w:color w:val="A8D8A8"/>
                <w:sz w:val="17"/>
                <w:szCs w:val="17"/>
              </w:rPr>
              <w:t xml:space="preserve"> "est_monthly_low": 4000,</w:t>
            </w:r>
          </w:p>
          <w:p>
            <w:pPr>
              <w:spacing w:after="0"/>
            </w:pPr>
            <w:r>
              <w:rPr>
                <w:rFonts w:ascii="Courier New" w:cs="Courier New" w:eastAsia="Courier New" w:hAnsi="Courier New"/>
                <w:color w:val="A8D8A8"/>
                <w:sz w:val="17"/>
                <w:szCs w:val="17"/>
              </w:rPr>
              <w:t xml:space="preserve"> "est_monthly_high": 12000,</w:t>
            </w:r>
          </w:p>
          <w:p>
            <w:pPr>
              <w:spacing w:after="0"/>
            </w:pPr>
            <w:r>
              <w:rPr>
                <w:rFonts w:ascii="Courier New" w:cs="Courier New" w:eastAsia="Courier New" w:hAnsi="Courier New"/>
                <w:color w:val="A8D8A8"/>
                <w:sz w:val="17"/>
                <w:szCs w:val="17"/>
              </w:rPr>
              <w:t xml:space="preserve"> "ai_reasoning": "Your resume cites migrating a 3TB warehouse to Snowflake and designing the real-time ingestion layer for a Fortune 500 client. These are exactly the outcomes senior engineers pay to learn. A cohort course lets you teach the decision framework you built, not just the technology.",</w:t>
            </w:r>
          </w:p>
          <w:p>
            <w:pPr>
              <w:spacing w:after="0"/>
            </w:pPr>
            <w:r>
              <w:rPr>
                <w:rFonts w:ascii="Courier New" w:cs="Courier New" w:eastAsia="Courier New" w:hAnsi="Courier New"/>
                <w:color w:val="A8D8A8"/>
                <w:sz w:val="17"/>
                <w:szCs w:val="17"/>
              </w:rPr>
              <w:t xml:space="preserve"> "deliverable_refs": ["Migrated 3TB data warehouse to Snowflake", "Designed real-time ingestion pipeline for 40M daily events"],</w:t>
            </w:r>
          </w:p>
          <w:p>
            <w:pPr>
              <w:spacing w:after="0"/>
            </w:pPr>
            <w:r>
              <w:rPr>
                <w:rFonts w:ascii="Courier New" w:cs="Courier New" w:eastAsia="Courier New" w:hAnsi="Courier New"/>
                <w:color w:val="A8D8A8"/>
                <w:sz w:val="17"/>
                <w:szCs w:val="17"/>
              </w:rPr>
              <w:t xml:space="preserve"> "automation_level": 2,</w:t>
            </w:r>
          </w:p>
          <w:p>
            <w:pPr>
              <w:spacing w:after="0"/>
            </w:pPr>
            <w:r>
              <w:rPr>
                <w:rFonts w:ascii="Courier New" w:cs="Courier New" w:eastAsia="Courier New" w:hAnsi="Courier New"/>
                <w:color w:val="A8D8A8"/>
                <w:sz w:val="17"/>
                <w:szCs w:val="17"/>
              </w:rPr>
              <w:t xml:space="preserve"> "launch_timeline_weeks": 8</w:t>
            </w:r>
          </w:p>
          <w:p>
            <w:pPr>
              <w:spacing w:after="0"/>
            </w:pPr>
            <w:r>
              <w:rPr>
                <w:rFonts w:ascii="Courier New" w:cs="Courier New" w:eastAsia="Courier New" w:hAnsi="Courier New"/>
                <w:color w:val="A8D8A8"/>
                <w:sz w:val="17"/>
                <w:szCs w:val="17"/>
              </w:rPr>
              <w:t xml:space="preserve">}</w:t>
            </w:r>
          </w:p>
        </w:tc>
      </w:tr>
    </w:tbl>
    <w:p>
      <w:pPr>
        <w:spacing w:after="120"/>
      </w:pPr>
      <w:r>
        <w:t xml:space="preserve"/>
      </w:r>
    </w:p>
    <w:p>
      <w:pPr>
        <w:pStyle w:val="Heading2"/>
      </w:pPr>
      <w:r>
        <w:t xml:space="preserve">9.3 SSE Streaming Architecture</w:t>
      </w:r>
    </w:p>
    <w:p>
      <w:pPr>
        <w:spacing w:after="120"/>
      </w:pPr>
      <w:r>
        <w:rPr>
          <w:rFonts w:ascii="Arial" w:cs="Arial" w:eastAsia="Arial" w:hAnsi="Arial"/>
          <w:color w:val="444444"/>
          <w:sz w:val="22"/>
          <w:szCs w:val="22"/>
        </w:rPr>
        <w:t xml:space="preserve">The /api/simulations/:id/stream endpoint uses Flask's Response with stream_with_context and Server-Sent Events. Claude's API streaming mode is used (stream=True). As each layer's JSON object is completed, it is parsed and emitted as a distinct SSE event. The frontend listens with EventSource and appends each layer to the UI as it arrives.</w:t>
      </w:r>
    </w:p>
    <w:p>
      <w:pPr>
        <w:spacing w:after="80"/>
      </w:pPr>
      <w:r>
        <w:t xml:space="preserve"/>
      </w:r>
    </w:p>
    <w:p>
      <w:pPr>
        <w:spacing w:after="120"/>
      </w:pPr>
      <w:r>
        <w:rPr>
          <w:rFonts w:ascii="Arial" w:cs="Arial" w:eastAsia="Arial" w:hAnsi="Arial"/>
          <w:color w:val="444444"/>
          <w:sz w:val="22"/>
          <w:szCs w:val="22"/>
        </w:rPr>
        <w:t xml:space="preserve">SSE event types emitted during generation:</w:t>
      </w:r>
    </w:p>
    <w:p>
      <w:pPr>
        <w:pStyle w:val="ListParagraph"/>
        <w:numPr>
          <w:ilvl w:val="0"/>
          <w:numId w:val="2"/>
        </w:numPr>
        <w:spacing w:after="80"/>
      </w:pPr>
      <w:r>
        <w:rPr>
          <w:rFonts w:ascii="Arial" w:cs="Arial" w:eastAsia="Arial" w:hAnsi="Arial"/>
          <w:color w:val="444444"/>
          <w:sz w:val="22"/>
          <w:szCs w:val="22"/>
        </w:rPr>
        <w:t xml:space="preserve">layer_start — layer number and name, signals UI to render skeleton card</w:t>
      </w:r>
    </w:p>
    <w:p>
      <w:pPr>
        <w:pStyle w:val="ListParagraph"/>
        <w:numPr>
          <w:ilvl w:val="0"/>
          <w:numId w:val="2"/>
        </w:numPr>
        <w:spacing w:after="80"/>
      </w:pPr>
      <w:r>
        <w:rPr>
          <w:rFonts w:ascii="Arial" w:cs="Arial" w:eastAsia="Arial" w:hAnsi="Arial"/>
          <w:color w:val="444444"/>
          <w:sz w:val="22"/>
          <w:szCs w:val="22"/>
        </w:rPr>
        <w:t xml:space="preserve">layer_data — complete layer JSON including all income_streams with ai_reasoning</w:t>
      </w:r>
    </w:p>
    <w:p>
      <w:pPr>
        <w:pStyle w:val="ListParagraph"/>
        <w:numPr>
          <w:ilvl w:val="0"/>
          <w:numId w:val="2"/>
        </w:numPr>
        <w:spacing w:after="80"/>
      </w:pPr>
      <w:r>
        <w:rPr>
          <w:rFonts w:ascii="Arial" w:cs="Arial" w:eastAsia="Arial" w:hAnsi="Arial"/>
          <w:color w:val="444444"/>
          <w:sz w:val="22"/>
          <w:szCs w:val="22"/>
        </w:rPr>
        <w:t xml:space="preserve">layer_error — error on a specific layer, triggers retry UI for that layer</w:t>
      </w:r>
    </w:p>
    <w:p>
      <w:pPr>
        <w:pStyle w:val="ListParagraph"/>
        <w:numPr>
          <w:ilvl w:val="0"/>
          <w:numId w:val="2"/>
        </w:numPr>
        <w:spacing w:after="80"/>
      </w:pPr>
      <w:r>
        <w:rPr>
          <w:rFonts w:ascii="Arial" w:cs="Arial" w:eastAsia="Arial" w:hAnsi="Arial"/>
          <w:color w:val="444444"/>
          <w:sz w:val="22"/>
          <w:szCs w:val="22"/>
        </w:rPr>
        <w:t xml:space="preserve">simulation_complete — all five layers delivered, marks Simulation as complete</w:t>
      </w:r>
    </w:p>
    <w:p>
      <w:pPr>
        <w:pStyle w:val="ListParagraph"/>
        <w:numPr>
          <w:ilvl w:val="0"/>
          <w:numId w:val="2"/>
        </w:numPr>
        <w:spacing w:after="80"/>
      </w:pPr>
      <w:r>
        <w:rPr>
          <w:rFonts w:ascii="Arial" w:cs="Arial" w:eastAsia="Arial" w:hAnsi="Arial"/>
          <w:color w:val="444444"/>
          <w:sz w:val="22"/>
          <w:szCs w:val="22"/>
        </w:rPr>
        <w:t xml:space="preserve">simulation_error — fatal error, triggers refund process via Stripe API</w:t>
      </w:r>
    </w:p>
    <w:p>
      <w:r>
        <w:br w:type="page"/>
      </w:r>
    </w:p>
    <w:p>
      <w:pPr>
        <w:pStyle w:val="Heading1"/>
      </w:pPr>
      <w:r>
        <w:t xml:space="preserve">10. Frontend UX Flow</w:t>
      </w:r>
    </w:p>
    <w:p>
      <w:pPr>
        <w:spacing w:after="120"/>
      </w:pPr>
      <w:r>
        <w:rPr>
          <w:rFonts w:ascii="Arial" w:cs="Arial" w:eastAsia="Arial" w:hAnsi="Arial"/>
          <w:color w:val="444444"/>
          <w:sz w:val="22"/>
          <w:szCs w:val="22"/>
        </w:rPr>
        <w:t xml:space="preserve">The platform uses server-rendered Jinja2 templates with lightweight JavaScript for SSE streaming, interactive states, and real-time layer rendering. No heavy frontend framework is required for v1.</w:t>
      </w:r>
    </w:p>
    <w:p>
      <w:pPr>
        <w:spacing w:after="100"/>
      </w:pPr>
      <w:r>
        <w:t xml:space="preserve"/>
      </w:r>
    </w:p>
    <w:p>
      <w:pPr>
        <w:pStyle w:val="Heading2"/>
      </w:pPr>
      <w:r>
        <w:t xml:space="preserve">10.1 New User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Action &amp; System Response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Register</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provides email + password. Verification email sent. Redirect to 'Check your inbox'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Dashboard (empty)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sees empty Dashboard with two CTAs: 'Upload Resume' and 'Import from LinkedIn.'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Source Selection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chooses Resume upload (drag-and-drop, PDF/DOCX) or LinkedIn import (OAuth redirect). Both result in editable parsed text preview.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Zone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clicks 'Analyze My Career.' Claude extracts Expertise Zones. Results display as selectable cards showing zone name, summary, monetization potential, and estimated hourly rate.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 Setup</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selects a zone, optionally types a focus hint, and names the Simulation. Pricing confirmation screen shows the current configured price fetched live from platform_settings.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Stripe Checkout or saved card confirmation. On success, Simulation job queued.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7</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Streaming View</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Wealth pyramid UI appears. Layers populate one at a time via SSE. Each Income Stream card expands to show the full AI reasoning on click.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clicks 'Refine this Layer,' types a constraint, and that layer regenerates (free). Remaining layers unchanged.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9</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Share &amp; Collaborate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 clicks 'Share' on any Simulation, invites collaborators by email with chosen permission level. Collaborators receive access link.</w:t>
            </w:r>
          </w:p>
        </w:tc>
      </w:tr>
    </w:tbl>
    <w:p>
      <w:pPr>
        <w:spacing w:after="120"/>
      </w:pPr>
      <w:r>
        <w:t xml:space="preserve"/>
      </w:r>
    </w:p>
    <w:p>
      <w:pPr>
        <w:pStyle w:val="Heading2"/>
      </w:pPr>
      <w:r>
        <w:t xml:space="preserve">10.2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Header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Logo, user name, total spend to date, notification bell, settings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My Simulations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Card grid: name, Expertise Zone, source (resume/LinkedIn), creation date, status badge, collaborator count, Share and Refine quick actions.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My Sources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of uploaded resumes and LinkedIn imports. Labels, dates, linked Simulation counts, re-sync option for LinkedIn.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Collaboration Inbox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Pending collaboration invitations from other users. Accept or decline.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Create New</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CTA prompting new upload, LinkedIn import, or new Simulation from existing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Admin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Visible to admin users only. Fintech toggle switch, revenue dashboard, refund log, token usage chart.</w:t>
            </w:r>
          </w:p>
        </w:tc>
      </w:tr>
    </w:tbl>
    <w:p>
      <w:r>
        <w:br w:type="page"/>
      </w:r>
    </w:p>
    <w:p>
      <w:pPr>
        <w:pStyle w:val="Heading1"/>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Page load (non-AI pages)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&lt; 2 seconds</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Jinja2 caching, MySQL query optimization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Simulation streaming 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&lt; 3 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Celery picks job immediately after payment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5-layer stream completion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&lt; 60 seconds</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 streaming mode, SSE push per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Password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Bcrypt cost 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Flask-Bcrypt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Security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file access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User-scoped only</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Signed path check before file 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 key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Environment variable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Never in code or DB. GoDaddy env config.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Security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OAuth tokens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Encrypted at rest</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AES-256 via cryptography library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 API failure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Retry 2x, then refund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Celery retry + Stripe refund on fatal error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Reliability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Database backups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Daily automated</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GoDaddy Managed Database backup policy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SSE connection drop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Auto-reconnect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EventSource reconnect with last-event-id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Scalability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Concurrent AI requests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Queue-based</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Celery + Redis task 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Privacy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and LinkedIn PII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Encrypted at 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MySQL encryption + GoDaddy disk encryption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Privacy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GDPR delete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cascade delete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DELETE /api/user purges all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Accessibility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WCAG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Level AA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All core flows, SSE status announced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Compliance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Stripe PCI</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PCI-DSS via Stripe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 card data stored on platform</w:t>
            </w:r>
          </w:p>
        </w:tc>
      </w:tr>
    </w:tbl>
    <w:p>
      <w:pPr>
        <w:spacing w:after="120"/>
      </w:pPr>
      <w:r>
        <w:t xml:space="preserve"/>
      </w:r>
    </w:p>
    <w:p>
      <w:pPr>
        <w:pStyle w:val="Heading2"/>
      </w:pPr>
      <w:r>
        <w:t xml:space="preserve">11.1 Flask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1"/>
              <w:left w:val="single" w:color="1B2B3B" w:sz="1"/>
              <w:bottom w:val="single" w:color="1B2B3B" w:sz="1"/>
              <w:right w:val="single" w:color="1B2B3B" w:sz="1"/>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simulacrum/</w:t>
            </w:r>
          </w:p>
          <w:p>
            <w:pPr>
              <w:spacing w:after="0"/>
            </w:pPr>
            <w:r>
              <w:rPr>
                <w:rFonts w:ascii="Courier New" w:cs="Courier New" w:eastAsia="Courier New" w:hAnsi="Courier New"/>
                <w:color w:val="A8D8A8"/>
                <w:sz w:val="17"/>
                <w:szCs w:val="17"/>
              </w:rPr>
              <w:t xml:space="preserve">├── app/</w:t>
            </w:r>
          </w:p>
          <w:p>
            <w:pPr>
              <w:spacing w:after="0"/>
            </w:pPr>
            <w:r>
              <w:rPr>
                <w:rFonts w:ascii="Courier New" w:cs="Courier New" w:eastAsia="Courier New" w:hAnsi="Courier New"/>
                <w:color w:val="A8D8A8"/>
                <w:sz w:val="17"/>
                <w:szCs w:val="17"/>
              </w:rPr>
              <w:t xml:space="preserve">│   ├── __init__.py          # Flask app factory</w:t>
            </w:r>
          </w:p>
          <w:p>
            <w:pPr>
              <w:spacing w:after="0"/>
            </w:pPr>
            <w:r>
              <w:rPr>
                <w:rFonts w:ascii="Courier New" w:cs="Courier New" w:eastAsia="Courier New" w:hAnsi="Courier New"/>
                <w:color w:val="A8D8A8"/>
                <w:sz w:val="17"/>
                <w:szCs w:val="17"/>
              </w:rPr>
              <w:t xml:space="preserve">│   ├── config.py            # Env-based config (dev/prod)</w:t>
            </w:r>
          </w:p>
          <w:p>
            <w:pPr>
              <w:spacing w:after="0"/>
            </w:pPr>
            <w:r>
              <w:rPr>
                <w:rFonts w:ascii="Courier New" w:cs="Courier New" w:eastAsia="Courier New" w:hAnsi="Courier New"/>
                <w:color w:val="A8D8A8"/>
                <w:sz w:val="17"/>
                <w:szCs w:val="17"/>
              </w:rPr>
              <w:t xml:space="preserve">│   ├── models/</w:t>
            </w:r>
          </w:p>
          <w:p>
            <w:pPr>
              <w:spacing w:after="0"/>
            </w:pPr>
            <w:r>
              <w:rPr>
                <w:rFonts w:ascii="Courier New" w:cs="Courier New" w:eastAsia="Courier New" w:hAnsi="Courier New"/>
                <w:color w:val="A8D8A8"/>
                <w:sz w:val="17"/>
                <w:szCs w:val="17"/>
              </w:rPr>
              <w:t xml:space="preserve">│   │   ├── user.py          # User, AuditLog</w:t>
            </w:r>
          </w:p>
          <w:p>
            <w:pPr>
              <w:spacing w:after="0"/>
            </w:pPr>
            <w:r>
              <w:rPr>
                <w:rFonts w:ascii="Courier New" w:cs="Courier New" w:eastAsia="Courier New" w:hAnsi="Courier New"/>
                <w:color w:val="A8D8A8"/>
                <w:sz w:val="17"/>
                <w:szCs w:val="17"/>
              </w:rPr>
              <w:t xml:space="preserve">│   │   ├── resume.py        # Resume (upload + linkedin)</w:t>
            </w:r>
          </w:p>
          <w:p>
            <w:pPr>
              <w:spacing w:after="0"/>
            </w:pPr>
            <w:r>
              <w:rPr>
                <w:rFonts w:ascii="Courier New" w:cs="Courier New" w:eastAsia="Courier New" w:hAnsi="Courier New"/>
                <w:color w:val="A8D8A8"/>
                <w:sz w:val="17"/>
                <w:szCs w:val="17"/>
              </w:rPr>
              <w:t xml:space="preserve">│   │   ├── simulation.py    # Simulation, SimulationLayer, IncomeStream</w:t>
            </w:r>
          </w:p>
          <w:p>
            <w:pPr>
              <w:spacing w:after="0"/>
            </w:pPr>
            <w:r>
              <w:rPr>
                <w:rFonts w:ascii="Courier New" w:cs="Courier New" w:eastAsia="Courier New" w:hAnsi="Courier New"/>
                <w:color w:val="A8D8A8"/>
                <w:sz w:val="17"/>
                <w:szCs w:val="17"/>
              </w:rPr>
              <w:t xml:space="preserve">│   │   ├── collaboration.py # Collaboration, CollabActivity</w:t>
            </w:r>
          </w:p>
          <w:p>
            <w:pPr>
              <w:spacing w:after="0"/>
            </w:pPr>
            <w:r>
              <w:rPr>
                <w:rFonts w:ascii="Courier New" w:cs="Courier New" w:eastAsia="Courier New" w:hAnsi="Courier New"/>
                <w:color w:val="A8D8A8"/>
                <w:sz w:val="17"/>
                <w:szCs w:val="17"/>
              </w:rPr>
              <w:t xml:space="preserve">│   │   └── platform.py      # PlatformSettings, AIInteraction</w:t>
            </w:r>
          </w:p>
          <w:p>
            <w:pPr>
              <w:spacing w:after="0"/>
            </w:pPr>
            <w:r>
              <w:rPr>
                <w:rFonts w:ascii="Courier New" w:cs="Courier New" w:eastAsia="Courier New" w:hAnsi="Courier New"/>
                <w:color w:val="A8D8A8"/>
                <w:sz w:val="17"/>
                <w:szCs w:val="17"/>
              </w:rPr>
              <w:t xml:space="preserve">│   ├── routes/</w:t>
            </w:r>
          </w:p>
          <w:p>
            <w:pPr>
              <w:spacing w:after="0"/>
            </w:pPr>
            <w:r>
              <w:rPr>
                <w:rFonts w:ascii="Courier New" w:cs="Courier New" w:eastAsia="Courier New" w:hAnsi="Courier New"/>
                <w:color w:val="A8D8A8"/>
                <w:sz w:val="17"/>
                <w:szCs w:val="17"/>
              </w:rPr>
              <w:t xml:space="preserve">│   │   ├── auth.py          # /api/auth/*</w:t>
            </w:r>
          </w:p>
          <w:p>
            <w:pPr>
              <w:spacing w:after="0"/>
            </w:pPr>
            <w:r>
              <w:rPr>
                <w:rFonts w:ascii="Courier New" w:cs="Courier New" w:eastAsia="Courier New" w:hAnsi="Courier New"/>
                <w:color w:val="A8D8A8"/>
                <w:sz w:val="17"/>
                <w:szCs w:val="17"/>
              </w:rPr>
              <w:t xml:space="preserve">│   │   ├── resumes.py       # /api/resumes/* + linkedin crawl</w:t>
            </w:r>
          </w:p>
          <w:p>
            <w:pPr>
              <w:spacing w:after="0"/>
            </w:pPr>
            <w:r>
              <w:rPr>
                <w:rFonts w:ascii="Courier New" w:cs="Courier New" w:eastAsia="Courier New" w:hAnsi="Courier New"/>
                <w:color w:val="A8D8A8"/>
                <w:sz w:val="17"/>
                <w:szCs w:val="17"/>
              </w:rPr>
              <w:t xml:space="preserve">│   │   ├── simulations.py   # /api/simulations/* + SSE stream</w:t>
            </w:r>
          </w:p>
          <w:p>
            <w:pPr>
              <w:spacing w:after="0"/>
            </w:pPr>
            <w:r>
              <w:rPr>
                <w:rFonts w:ascii="Courier New" w:cs="Courier New" w:eastAsia="Courier New" w:hAnsi="Courier New"/>
                <w:color w:val="A8D8A8"/>
                <w:sz w:val="17"/>
                <w:szCs w:val="17"/>
              </w:rPr>
              <w:t xml:space="preserve">│   │   ├── collaboration.py # /api/simulations/:id/collaborators/*</w:t>
            </w:r>
          </w:p>
          <w:p>
            <w:pPr>
              <w:spacing w:after="0"/>
            </w:pPr>
            <w:r>
              <w:rPr>
                <w:rFonts w:ascii="Courier New" w:cs="Courier New" w:eastAsia="Courier New" w:hAnsi="Courier New"/>
                <w:color w:val="A8D8A8"/>
                <w:sz w:val="17"/>
                <w:szCs w:val="17"/>
              </w:rPr>
              <w:t xml:space="preserve">│   │   ├── admin.py         # /api/admin/* (fintech toggle, revenue)</w:t>
            </w:r>
          </w:p>
          <w:p>
            <w:pPr>
              <w:spacing w:after="0"/>
            </w:pPr>
            <w:r>
              <w:rPr>
                <w:rFonts w:ascii="Courier New" w:cs="Courier New" w:eastAsia="Courier New" w:hAnsi="Courier New"/>
                <w:color w:val="A8D8A8"/>
                <w:sz w:val="17"/>
                <w:szCs w:val="17"/>
              </w:rPr>
              <w:t xml:space="preserve">│   │   └── user.py          # /api/user/*</w:t>
            </w:r>
          </w:p>
          <w:p>
            <w:pPr>
              <w:spacing w:after="0"/>
            </w:pPr>
            <w:r>
              <w:rPr>
                <w:rFonts w:ascii="Courier New" w:cs="Courier New" w:eastAsia="Courier New" w:hAnsi="Courier New"/>
                <w:color w:val="A8D8A8"/>
                <w:sz w:val="17"/>
                <w:szCs w:val="17"/>
              </w:rPr>
              <w:t xml:space="preserve">│   ├── services/</w:t>
            </w:r>
          </w:p>
          <w:p>
            <w:pPr>
              <w:spacing w:after="0"/>
            </w:pPr>
            <w:r>
              <w:rPr>
                <w:rFonts w:ascii="Courier New" w:cs="Courier New" w:eastAsia="Courier New" w:hAnsi="Courier New"/>
                <w:color w:val="A8D8A8"/>
                <w:sz w:val="17"/>
                <w:szCs w:val="17"/>
              </w:rPr>
              <w:t xml:space="preserve">│   │   ├── claude_service.py   # Zone extract, sim gen, layer refine</w:t>
            </w:r>
          </w:p>
          <w:p>
            <w:pPr>
              <w:spacing w:after="0"/>
            </w:pPr>
            <w:r>
              <w:rPr>
                <w:rFonts w:ascii="Courier New" w:cs="Courier New" w:eastAsia="Courier New" w:hAnsi="Courier New"/>
                <w:color w:val="A8D8A8"/>
                <w:sz w:val="17"/>
                <w:szCs w:val="17"/>
              </w:rPr>
              <w:t xml:space="preserve">│   │   ├── resume_parser.py    # PyMuPDF + python-docx</w:t>
            </w:r>
          </w:p>
          <w:p>
            <w:pPr>
              <w:spacing w:after="0"/>
            </w:pPr>
            <w:r>
              <w:rPr>
                <w:rFonts w:ascii="Courier New" w:cs="Courier New" w:eastAsia="Courier New" w:hAnsi="Courier New"/>
                <w:color w:val="A8D8A8"/>
                <w:sz w:val="17"/>
                <w:szCs w:val="17"/>
              </w:rPr>
              <w:t xml:space="preserve">│   │   ├── linkedin_crawler.py # OAuth + profile scrape + normalize</w:t>
            </w:r>
          </w:p>
          <w:p>
            <w:pPr>
              <w:spacing w:after="0"/>
            </w:pPr>
            <w:r>
              <w:rPr>
                <w:rFonts w:ascii="Courier New" w:cs="Courier New" w:eastAsia="Courier New" w:hAnsi="Courier New"/>
                <w:color w:val="A8D8A8"/>
                <w:sz w:val="17"/>
                <w:szCs w:val="17"/>
              </w:rPr>
              <w:t xml:space="preserve">│   │   ├── stripe_service.py   # Charge, refund, webhook, Stripe Connect payouts</w:t>
            </w:r>
          </w:p>
          <w:p>
            <w:pPr>
              <w:spacing w:after="0"/>
            </w:pPr>
            <w:r>
              <w:rPr>
                <w:rFonts w:ascii="Courier New" w:cs="Courier New" w:eastAsia="Courier New" w:hAnsi="Courier New"/>
                <w:color w:val="A8D8A8"/>
                <w:sz w:val="17"/>
                <w:szCs w:val="17"/>
              </w:rPr>
              <w:t xml:space="preserve">│   │   ├── partner_service.py  # Referral attribution, commission calc, payout trigger</w:t>
            </w:r>
          </w:p>
          <w:p>
            <w:pPr>
              <w:spacing w:after="0"/>
            </w:pPr>
            <w:r>
              <w:rPr>
                <w:rFonts w:ascii="Courier New" w:cs="Courier New" w:eastAsia="Courier New" w:hAnsi="Courier New"/>
                <w:color w:val="A8D8A8"/>
                <w:sz w:val="17"/>
                <w:szCs w:val="17"/>
              </w:rPr>
              <w:t xml:space="preserve">│   │   ├── sse_service.py      # SSE event builder and emitter</w:t>
            </w:r>
          </w:p>
          <w:p>
            <w:pPr>
              <w:spacing w:after="0"/>
            </w:pPr>
            <w:r>
              <w:rPr>
                <w:rFonts w:ascii="Courier New" w:cs="Courier New" w:eastAsia="Courier New" w:hAnsi="Courier New"/>
                <w:color w:val="A8D8A8"/>
                <w:sz w:val="17"/>
                <w:szCs w:val="17"/>
              </w:rPr>
              <w:t xml:space="preserve">│   │   ├── pdf_exporter.py     # WeasyPrint PDF export</w:t>
            </w:r>
          </w:p>
          <w:p>
            <w:pPr>
              <w:spacing w:after="0"/>
            </w:pPr>
            <w:r>
              <w:rPr>
                <w:rFonts w:ascii="Courier New" w:cs="Courier New" w:eastAsia="Courier New" w:hAnsi="Courier New"/>
                <w:color w:val="A8D8A8"/>
                <w:sz w:val="17"/>
                <w:szCs w:val="17"/>
              </w:rPr>
              <w:t xml:space="preserve">│   │   ├── fintech_service.py  # Plaid/Alpaca — toggled on/off</w:t>
            </w:r>
          </w:p>
          <w:p>
            <w:pPr>
              <w:spacing w:after="0"/>
            </w:pPr>
            <w:r>
              <w:rPr>
                <w:rFonts w:ascii="Courier New" w:cs="Courier New" w:eastAsia="Courier New" w:hAnsi="Courier New"/>
                <w:color w:val="A8D8A8"/>
                <w:sz w:val="17"/>
                <w:szCs w:val="17"/>
              </w:rPr>
              <w:t xml:space="preserve">│   │   └── email_service.py    # Verification, invoices, collab invites</w:t>
            </w:r>
          </w:p>
          <w:p>
            <w:pPr>
              <w:spacing w:after="0"/>
            </w:pPr>
            <w:r>
              <w:rPr>
                <w:rFonts w:ascii="Courier New" w:cs="Courier New" w:eastAsia="Courier New" w:hAnsi="Courier New"/>
                <w:color w:val="A8D8A8"/>
                <w:sz w:val="17"/>
                <w:szCs w:val="17"/>
              </w:rPr>
              <w:t xml:space="preserve">│   ├── tasks/</w:t>
            </w:r>
          </w:p>
          <w:p>
            <w:pPr>
              <w:spacing w:after="0"/>
            </w:pPr>
            <w:r>
              <w:rPr>
                <w:rFonts w:ascii="Courier New" w:cs="Courier New" w:eastAsia="Courier New" w:hAnsi="Courier New"/>
                <w:color w:val="A8D8A8"/>
                <w:sz w:val="17"/>
                <w:szCs w:val="17"/>
              </w:rPr>
              <w:t xml:space="preserve">│   │   └── simulation_tasks.py # Celery async generation jobs</w:t>
            </w:r>
          </w:p>
          <w:p>
            <w:pPr>
              <w:spacing w:after="0"/>
            </w:pPr>
            <w:r>
              <w:rPr>
                <w:rFonts w:ascii="Courier New" w:cs="Courier New" w:eastAsia="Courier New" w:hAnsi="Courier New"/>
                <w:color w:val="A8D8A8"/>
                <w:sz w:val="17"/>
                <w:szCs w:val="17"/>
              </w:rPr>
              <w:t xml:space="preserve">│   ├── templates/</w:t>
            </w:r>
          </w:p>
          <w:p>
            <w:pPr>
              <w:spacing w:after="0"/>
            </w:pPr>
            <w:r>
              <w:rPr>
                <w:rFonts w:ascii="Courier New" w:cs="Courier New" w:eastAsia="Courier New" w:hAnsi="Courier New"/>
                <w:color w:val="A8D8A8"/>
                <w:sz w:val="17"/>
                <w:szCs w:val="17"/>
              </w:rPr>
              <w:t xml:space="preserve">│   │   ├── base.html</w:t>
            </w:r>
          </w:p>
          <w:p>
            <w:pPr>
              <w:spacing w:after="0"/>
            </w:pPr>
            <w:r>
              <w:rPr>
                <w:rFonts w:ascii="Courier New" w:cs="Courier New" w:eastAsia="Courier New" w:hAnsi="Courier New"/>
                <w:color w:val="A8D8A8"/>
                <w:sz w:val="17"/>
                <w:szCs w:val="17"/>
              </w:rPr>
              <w:t xml:space="preserve">│   │   ├── dashboard.html</w:t>
            </w:r>
          </w:p>
          <w:p>
            <w:pPr>
              <w:spacing w:after="0"/>
            </w:pPr>
            <w:r>
              <w:rPr>
                <w:rFonts w:ascii="Courier New" w:cs="Courier New" w:eastAsia="Courier New" w:hAnsi="Courier New"/>
                <w:color w:val="A8D8A8"/>
                <w:sz w:val="17"/>
                <w:szCs w:val="17"/>
              </w:rPr>
              <w:t xml:space="preserve">│   │   ├── simulation.html     # SSE consumer + streaming pyramid UI</w:t>
            </w:r>
          </w:p>
          <w:p>
            <w:pPr>
              <w:spacing w:after="0"/>
            </w:pPr>
            <w:r>
              <w:rPr>
                <w:rFonts w:ascii="Courier New" w:cs="Courier New" w:eastAsia="Courier New" w:hAnsi="Courier New"/>
                <w:color w:val="A8D8A8"/>
                <w:sz w:val="17"/>
                <w:szCs w:val="17"/>
              </w:rPr>
              <w:t xml:space="preserve">│   │   ├── collaborate.html    # Collaboration view</w:t>
            </w:r>
          </w:p>
          <w:p>
            <w:pPr>
              <w:spacing w:after="0"/>
            </w:pPr>
            <w:r>
              <w:rPr>
                <w:rFonts w:ascii="Courier New" w:cs="Courier New" w:eastAsia="Courier New" w:hAnsi="Courier New"/>
                <w:color w:val="A8D8A8"/>
                <w:sz w:val="17"/>
                <w:szCs w:val="17"/>
              </w:rPr>
              <w:t xml:space="preserve">│   │   └── admin.html          # Admin dashboard + fintech toggle</w:t>
            </w:r>
          </w:p>
          <w:p>
            <w:pPr>
              <w:spacing w:after="0"/>
            </w:pPr>
            <w:r>
              <w:rPr>
                <w:rFonts w:ascii="Courier New" w:cs="Courier New" w:eastAsia="Courier New" w:hAnsi="Courier New"/>
                <w:color w:val="A8D8A8"/>
                <w:sz w:val="17"/>
                <w:szCs w:val="17"/>
              </w:rPr>
              <w:t xml:space="preserve">│   └── static/ (css/, js/)</w:t>
            </w:r>
          </w:p>
          <w:p>
            <w:pPr>
              <w:spacing w:after="0"/>
            </w:pPr>
            <w:r>
              <w:rPr>
                <w:rFonts w:ascii="Courier New" w:cs="Courier New" w:eastAsia="Courier New" w:hAnsi="Courier New"/>
                <w:color w:val="A8D8A8"/>
                <w:sz w:val="17"/>
                <w:szCs w:val="17"/>
              </w:rPr>
              <w:t xml:space="preserve">├── utils/</w:t>
            </w:r>
          </w:p>
          <w:p>
            <w:pPr>
              <w:spacing w:after="0"/>
            </w:pPr>
            <w:r>
              <w:rPr>
                <w:rFonts w:ascii="Courier New" w:cs="Courier New" w:eastAsia="Courier New" w:hAnsi="Courier New"/>
                <w:color w:val="A8D8A8"/>
                <w:sz w:val="17"/>
                <w:szCs w:val="17"/>
              </w:rPr>
              <w:t xml:space="preserve">│   └── id_gen.py               # 9-char alphanumeric ID generator (all tables)</w:t>
            </w:r>
          </w:p>
          <w:p>
            <w:pPr>
              <w:spacing w:after="0"/>
            </w:pPr>
            <w:r>
              <w:rPr>
                <w:rFonts w:ascii="Courier New" w:cs="Courier New" w:eastAsia="Courier New" w:hAnsi="Courier New"/>
                <w:color w:val="A8D8A8"/>
                <w:sz w:val="17"/>
                <w:szCs w:val="17"/>
              </w:rPr>
              <w:t xml:space="preserve">├── migrations/                 # Flask-Migrate</w:t>
            </w:r>
          </w:p>
          <w:p>
            <w:pPr>
              <w:spacing w:after="0"/>
            </w:pPr>
            <w:r>
              <w:rPr>
                <w:rFonts w:ascii="Courier New" w:cs="Courier New" w:eastAsia="Courier New" w:hAnsi="Courier New"/>
                <w:color w:val="A8D8A8"/>
                <w:sz w:val="17"/>
                <w:szCs w:val="17"/>
              </w:rPr>
              <w:t xml:space="preserve">├── tests/</w:t>
            </w:r>
          </w:p>
          <w:p>
            <w:pPr>
              <w:spacing w:after="0"/>
            </w:pPr>
            <w:r>
              <w:rPr>
                <w:rFonts w:ascii="Courier New" w:cs="Courier New" w:eastAsia="Courier New" w:hAnsi="Courier New"/>
                <w:color w:val="A8D8A8"/>
                <w:sz w:val="17"/>
                <w:szCs w:val="17"/>
              </w:rPr>
              <w:t xml:space="preserve">├── .env                        # CLAUDE_API_KEY, STRIPE_SECRET, etc.</w:t>
            </w:r>
          </w:p>
          <w:p>
            <w:pPr>
              <w:spacing w:after="0"/>
            </w:pPr>
            <w:r>
              <w:rPr>
                <w:rFonts w:ascii="Courier New" w:cs="Courier New" w:eastAsia="Courier New" w:hAnsi="Courier New"/>
                <w:color w:val="A8D8A8"/>
                <w:sz w:val="17"/>
                <w:szCs w:val="17"/>
              </w:rPr>
              <w:t xml:space="preserve">├── requirements.txt</w:t>
            </w:r>
          </w:p>
          <w:p>
            <w:pPr>
              <w:spacing w:after="0"/>
            </w:pPr>
            <w:r>
              <w:rPr>
                <w:rFonts w:ascii="Courier New" w:cs="Courier New" w:eastAsia="Courier New" w:hAnsi="Courier New"/>
                <w:color w:val="A8D8A8"/>
                <w:sz w:val="17"/>
                <w:szCs w:val="17"/>
              </w:rPr>
              <w:t xml:space="preserve">└── wsgi.py</w:t>
            </w:r>
          </w:p>
        </w:tc>
      </w:tr>
    </w:tbl>
    <w:p>
      <w:r>
        <w:br w:type="page"/>
      </w:r>
    </w:p>
    <w:p>
      <w:pPr>
        <w:pStyle w:val="Heading1"/>
      </w:pPr>
      <w:r>
        <w:t xml:space="preserve">12. Sprint Roadmap — 8 Weeks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Weeks</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Sprint 1 — Foundation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1–2</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Flask app factory, SQLAlchemy + MySQL schema with CHAR(9) alphanumeric ID generator (utils/id_gen.py), Flask-Migrate, user auth (register/login/JWT/email verify), GoDaddy deployment pipeline, .env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Sprint 2 — Data 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Resume upload + PyMuPDF/python-docx parsing, LinkedIn OAuth + crawler + normalization, editable parsed text UI, Claude expertise zone extraction with caching.</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Sprint 3 — Simulation Core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5–6</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Stripe dynamic-price checkout (reads simulation_price from platform_settings), Celery task queue, full 5-layer Claude generation, SSE streaming endpoint, streaming pyramid UI, AI reasoning display per Income Stream.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Sprint 4 — Collaboration &amp;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7–8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Collaboration invite system, share links, permission levels, activity log. Admin panel with fintech toggle, revenue dashboard, refund automation, PDF export, QA, production launch.</w:t>
            </w:r>
          </w:p>
        </w:tc>
      </w:tr>
    </w:tbl>
    <w:p>
      <w:pPr>
        <w:spacing w:after="120"/>
      </w:pPr>
      <w:r>
        <w:t xml:space="preserve"/>
      </w:r>
    </w:p>
    <w:p>
      <w:pPr>
        <w:pStyle w:val="Heading2"/>
      </w:pPr>
      <w: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flask</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3.0.*</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Core web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flask-sqlalchemy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ORM for MySQL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flask-migrate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4.*</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Database schema migrations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flask-login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Session management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flask-bcrypt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Password hashing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0.30.*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Claude API client with streaming</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PyMuPDF</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1.24.*</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PDF text extraction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python-docx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DOCX text extraction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celery</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5.4.*</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Async task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Celery broker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stripe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Per-usage payments, refunds, and Stripe Connect partner payouts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requests-oauthlib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OAuth 2.0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beautifulsoup4</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4.12.*</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LinkedIn profile HTML parsing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weasyprint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PDF export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cryptography</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42.*</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OAuth token encryption at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PyJWT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JWT token auth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mysqlclient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2.2.*</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MySQL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python-dotenv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Environment variable loading</w:t>
            </w:r>
          </w:p>
        </w:tc>
      </w:tr>
    </w:tbl>
    <w:p>
      <w:r>
        <w:br w:type="page"/>
      </w:r>
    </w:p>
    <w:p>
      <w:pPr>
        <w:pStyle w:val="Heading1"/>
      </w:pPr>
      <w:r>
        <w:t xml:space="preserve">13. Open Questions — Resolved</w:t>
      </w:r>
    </w:p>
    <w:p>
      <w:pPr>
        <w:spacing w:after="120"/>
      </w:pPr>
      <w:r>
        <w:rPr>
          <w:rFonts w:ascii="Arial" w:cs="Arial" w:eastAsia="Arial" w:hAnsi="Arial"/>
          <w:color w:val="444444"/>
          <w:sz w:val="22"/>
          <w:szCs w:val="22"/>
        </w:rPr>
        <w:t xml:space="preserve">All open questions from the initial PRD draft have been formally resolved. The table below documents each question and its binding resolution.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Should Simulation generation use SSE streaming or a single async job with polling?</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SSE streaming. Layers appear live in the UI as Claude completes each one. EventSource reconnects automatically on drop using last-event-id.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What is the monetization model — subscription or per-usage?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Per-usage fee, admin-configurable. Default price at launch is $10.00 per Simulation. The admin can update the price at any time via the Admin Panel. The price is stored in platform_settings under the key 'simulation_price' and applied dynamically at Stripe checkout — no redeployment or Stripe dashboard change required.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Should collaboration be available in v1?</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Yes. Collaboration is enabled from the outset and can be seeded from any prior Simulation. Owners invite by email and control permission levels (Viewer, Commenter, Editor).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Should LinkedIn integration be available as an alternative to resume upload?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Yes. LinkedIn OAuth + profile crawler is a first-class data source in v1. Crawled data is normalized via a Claude call into the standard resume schema before zone extraction.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Should AI reasoning be surfaced for each Income Stream recommendation?</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Yes. Claude's ai_reasoning field is surfaced inline in the UI for every Income Stream. It explains the specific resume or LinkedIn Deliverable that justifies the recommendation.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Should Layer 5 include live fintech API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General guidance by default. A fintech toggle in the admin panel enables live Plaid/Alpaca API integration when activated. Toggle is database-driven and takes effect without redeployment.</w:t>
            </w:r>
          </w:p>
        </w:tc>
      </w:tr>
    </w:tbl>
    <w:p>
      <w:pPr>
        <w:spacing w:after="160"/>
      </w:pPr>
      <w:r>
        <w:t xml:space="preserve"/>
      </w:r>
    </w:p>
    <w:p>
      <w:pPr>
        <w:pBdr>
          <w:bottom w:val="single" w:color="2E6DB4" w:sz="4" w:space="1"/>
        </w:pBdr>
        <w:spacing w:after="80" w:before="80"/>
      </w:pPr>
      <w:r>
        <w:t xml:space="preserve"/>
      </w:r>
    </w:p>
    <w:p>
      <w:pPr>
        <w:spacing w:after="120"/>
      </w:pPr>
      <w:r>
        <w:t xml:space="preserve"/>
      </w:r>
    </w:p>
    <w:p>
      <w:pPr>
        <w:jc w:val="center"/>
      </w:pPr>
      <w:r>
        <w:rPr>
          <w:rFonts w:ascii="Arial" w:cs="Arial" w:eastAsia="Arial" w:hAnsi="Arial"/>
          <w:b/>
          <w:bCs/>
          <w:color w:val="1B3A6B"/>
          <w:sz w:val="22"/>
          <w:szCs w:val="22"/>
        </w:rPr>
        <w:t xml:space="preserve">Simulacrum PRD v1.0 — Approved</w:t>
      </w:r>
    </w:p>
    <w:p>
      <w:pPr>
        <w:spacing w:after="80"/>
        <w:jc w:val="center"/>
      </w:pPr>
      <w:r>
        <w:rPr>
          <w:rFonts w:ascii="Arial" w:cs="Arial" w:eastAsia="Arial" w:hAnsi="Arial"/>
          <w:color w:val="444444"/>
          <w:sz w:val="20"/>
          <w:szCs w:val="20"/>
        </w:rPr>
        <w:t xml:space="preserve">PrezentEnergy Ventures  |  April 2026</w:t>
      </w:r>
    </w:p>
    <w:p>
      <w:pPr>
        <w:pStyle w:val="Heading1"/>
      </w:pPr>
      <w:r>
        <w:t xml:space="preserve">14. Simulacrum Vision — One-Page Presentation</w:t>
      </w:r>
    </w:p>
    <w:p>
      <w:pPr>
        <w:spacing w:after="120"/>
      </w:pPr>
      <w:r>
        <w:rPr>
          <w:rFonts w:ascii="Arial" w:cs="Arial" w:eastAsia="Arial" w:hAnsi="Arial"/>
          <w:color w:val="444444"/>
          <w:sz w:val="22"/>
          <w:szCs w:val="22"/>
        </w:rPr>
        <w:t xml:space="preserve">The three core questions from the Vision (Section 2) are answered below exactly as Simulacrum answers them for every user — grounded in real career evidence, mapped to the five-layer wealth framework, and delivered through AI-powered analysis. This page serves as both an internal reference for product purpose and a stakeholder-ready summary of the platform's value proposition.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none" w:color="0D1B2A" w:sz="0"/>
              <w:left w:val="none" w:color="0D1B2A" w:sz="0"/>
              <w:bottom w:val="none" w:color="0D1B2A" w:sz="0"/>
              <w:right w:val="none" w:color="0D1B2A" w:sz="0"/>
            </w:tcBorders>
            <w:shd w:fill="0D1B2A" w:val="clear"/>
            <w:tcMar>
              <w:top w:type="dxa" w:w="200"/>
              <w:left w:type="dxa" w:w="240"/>
              <w:bottom w:type="dxa" w:w="200"/>
              <w:right w:type="dxa" w:w="240"/>
            </w:tcMar>
          </w:tcPr>
          <w:p>
            <w:pPr>
              <w:spacing w:after="80"/>
              <w:jc w:val="center"/>
            </w:pPr>
            <w:r>
              <w:rPr>
                <w:rFonts w:ascii="Arial" w:cs="Arial" w:eastAsia="Arial" w:hAnsi="Arial"/>
                <w:b/>
                <w:bCs/>
                <w:caps/>
                <w:color w:val="FFFFFF"/>
                <w:sz w:val="52"/>
                <w:szCs w:val="52"/>
              </w:rPr>
              <w:t xml:space="preserve">SIMULACRUM</w:t>
            </w:r>
          </w:p>
          <w:p>
            <w:pPr>
              <w:spacing w:after="40"/>
              <w:jc w:val="center"/>
            </w:pPr>
            <w:r>
              <w:rPr>
                <w:rFonts w:ascii="Arial" w:cs="Arial" w:eastAsia="Arial" w:hAnsi="Arial"/>
                <w:i/>
                <w:iCs/>
                <w:color w:val="A8C8F0"/>
                <w:sz w:val="24"/>
                <w:szCs w:val="24"/>
              </w:rPr>
              <w:t xml:space="preserve">How We Answer the Three Questions Every Professional Must Face</w:t>
            </w:r>
          </w:p>
          <w:p>
            <w:pPr>
              <w:jc w:val="center"/>
            </w:pPr>
            <w:r>
              <w:rPr>
                <w:rFonts w:ascii="Arial" w:cs="Arial" w:eastAsia="Arial" w:hAnsi="Arial"/>
                <w:color w:val="6699CC"/>
                <w:sz w:val="18"/>
                <w:szCs w:val="18"/>
              </w:rPr>
              <w:t xml:space="preserve">AI-Powered Career Wealth Simulation  •  Flask + Claude API  •  PrezentEnergy Ventures</w:t>
            </w:r>
          </w:p>
        </w:tc>
      </w:tr>
      <w:tr>
        <w:tc>
          <w:tcPr>
            <w:tcW w:type="dxa" w:w="9360"/>
            <w:gridSpan w:val="2"/>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700"/>
            <w:tcBorders>
              <w:top w:val="none" w:color="1B3A6B" w:sz="0"/>
              <w:left w:val="none" w:color="1B3A6B" w:sz="0"/>
              <w:bottom w:val="none" w:color="1B3A6B" w:sz="0"/>
              <w:right w:val="none" w:color="1B3A6B" w:sz="0"/>
            </w:tcBorders>
            <w:shd w:fill="1B3A6B" w:val="clear"/>
            <w:tcMar>
              <w:top w:type="dxa" w:w="120"/>
              <w:left w:type="dxa" w:w="100"/>
              <w:bottom w:type="dxa" w:w="120"/>
              <w:right w:type="dxa" w:w="100"/>
            </w:tcMar>
            <w:vAlign w:val="center"/>
          </w:tcPr>
          <w:p>
            <w:pPr>
              <w:jc w:val="center"/>
            </w:pPr>
            <w:r>
              <w:rPr>
                <w:rFonts w:ascii="Arial" w:cs="Arial" w:eastAsia="Arial" w:hAnsi="Arial"/>
                <w:color w:val="FFFFFF"/>
                <w:sz w:val="36"/>
                <w:szCs w:val="36"/>
              </w:rPr>
              <w:t xml:space="preserve">✦</w:t>
            </w:r>
          </w:p>
          <w:p>
            <w:pPr>
              <w:jc w:val="center"/>
            </w:pPr>
            <w:r>
              <w:rPr>
                <w:rFonts w:ascii="Arial" w:cs="Arial" w:eastAsia="Arial" w:hAnsi="Arial"/>
                <w:b/>
                <w:bCs/>
                <w:color w:val="FFFFFF"/>
                <w:sz w:val="18"/>
                <w:szCs w:val="18"/>
              </w:rPr>
              <w:t xml:space="preserve">Q1</w:t>
            </w:r>
          </w:p>
        </w:tc>
        <w:tc>
          <w:tcPr>
            <w:tcW w:type="dxa" w:w="8660"/>
            <w:tcBorders>
              <w:top w:val="none" w:color="1B3A6B" w:sz="0"/>
              <w:left w:val="none" w:color="1B3A6B" w:sz="0"/>
              <w:bottom w:val="none" w:color="1B3A6B" w:sz="0"/>
              <w:right w:val="none" w:color="1B3A6B" w:sz="0"/>
            </w:tcBorders>
            <w:shd w:fill="1B3A6B" w:val="clear"/>
            <w:tcMar>
              <w:top w:type="dxa" w:w="120"/>
              <w:left w:type="dxa" w:w="180"/>
              <w:bottom w:type="dxa" w:w="120"/>
              <w:right w:type="dxa" w:w="180"/>
            </w:tcMar>
            <w:vAlign w:val="center"/>
          </w:tcPr>
          <w:p>
            <w:r>
              <w:rPr>
                <w:rFonts w:ascii="Arial" w:cs="Arial" w:eastAsia="Arial" w:hAnsi="Arial"/>
                <w:b/>
                <w:bCs/>
                <w:color w:val="FFFFFF"/>
                <w:sz w:val="26"/>
                <w:szCs w:val="26"/>
              </w:rPr>
              <w:t xml:space="preserve">What are you excellent at — and what real deliverables prove it?</w:t>
            </w:r>
          </w:p>
        </w:tc>
      </w:tr>
      <w:tr>
        <w:tc>
          <w:tcPr>
            <w:tcW w:type="dxa" w:w="700"/>
            <w:tcBorders>
              <w:top w:val="none" w:color="E8F0FA" w:sz="0"/>
              <w:left w:val="none" w:color="E8F0FA" w:sz="0"/>
              <w:bottom w:val="none" w:color="E8F0FA" w:sz="0"/>
              <w:right w:val="none" w:color="E8F0FA" w:sz="0"/>
            </w:tcBorders>
            <w:shd w:fill="E8F0FA" w:val="clear"/>
            <w:tcMar>
              <w:top w:type="dxa" w:w="0"/>
              <w:left w:type="dxa" w:w="0"/>
              <w:bottom w:type="dxa" w:w="0"/>
              <w:right w:type="dxa" w:w="0"/>
            </w:tcMar>
          </w:tcPr>
          <w:p>
            <w:r>
              <w:t xml:space="preserve"/>
            </w:r>
          </w:p>
        </w:tc>
        <w:tc>
          <w:tcPr>
            <w:tcW w:type="dxa" w:w="8660"/>
            <w:tcBorders>
              <w:top w:val="none" w:color="E8F0FA" w:sz="0"/>
              <w:left w:val="none" w:color="E8F0FA" w:sz="0"/>
              <w:bottom w:val="none" w:color="E8F0FA" w:sz="0"/>
              <w:right w:val="none" w:color="E8F0FA" w:sz="0"/>
            </w:tcBorders>
            <w:shd w:fill="E8F0FA" w:val="clear"/>
            <w:tcMar>
              <w:top w:type="dxa" w:w="140"/>
              <w:left w:type="dxa" w:w="180"/>
              <w:bottom w:type="dxa" w:w="160"/>
              <w:right w:type="dxa" w:w="220"/>
            </w:tcMar>
          </w:tcPr>
          <w:p>
            <w:pPr>
              <w:spacing w:after="100"/>
            </w:pPr>
            <w:r>
              <w:rPr>
                <w:rFonts w:ascii="Arial" w:cs="Arial" w:eastAsia="Arial" w:hAnsi="Arial"/>
                <w:color w:val="1B3A6B"/>
                <w:sz w:val="20"/>
                <w:szCs w:val="20"/>
              </w:rPr>
              <w:t xml:space="preserve">  ▶  </w:t>
            </w:r>
            <w:r>
              <w:rPr>
                <w:rFonts w:ascii="Arial" w:cs="Arial" w:eastAsia="Arial" w:hAnsi="Arial"/>
                <w:color w:val="0D1B2A"/>
                <w:sz w:val="21"/>
                <w:szCs w:val="21"/>
              </w:rPr>
              <w:t xml:space="preserve">Simulacrum ingests your resume or LinkedIn profile and sends it to Claude, which identifies discrete Expertise Zones — specific domains where your work history shows repeatable, measurable excellence.</w:t>
            </w:r>
          </w:p>
          <w:p>
            <w:pPr>
              <w:spacing w:after="100"/>
            </w:pPr>
            <w:r>
              <w:rPr>
                <w:rFonts w:ascii="Arial" w:cs="Arial" w:eastAsia="Arial" w:hAnsi="Arial"/>
                <w:color w:val="1B3A6B"/>
                <w:sz w:val="20"/>
                <w:szCs w:val="20"/>
              </w:rPr>
              <w:t xml:space="preserve">  ▶  </w:t>
            </w:r>
            <w:r>
              <w:rPr>
                <w:rFonts w:ascii="Arial" w:cs="Arial" w:eastAsia="Arial" w:hAnsi="Arial"/>
                <w:color w:val="0D1B2A"/>
                <w:sz w:val="21"/>
                <w:szCs w:val="21"/>
              </w:rPr>
              <w:t xml:space="preserve">Each zone is grounded in real Deliverables: the migration you led, the revenue you closed, the system you designed. Not generalizations — proof.</w:t>
            </w:r>
          </w:p>
          <w:p>
            <w:pPr>
              <w:spacing w:after="100"/>
            </w:pPr>
            <w:r>
              <w:rPr>
                <w:rFonts w:ascii="Arial" w:cs="Arial" w:eastAsia="Arial" w:hAnsi="Arial"/>
                <w:color w:val="1B3A6B"/>
                <w:sz w:val="20"/>
                <w:szCs w:val="20"/>
              </w:rPr>
              <w:t xml:space="preserve">  ▶  </w:t>
            </w:r>
            <w:r>
              <w:rPr>
                <w:rFonts w:ascii="Arial" w:cs="Arial" w:eastAsia="Arial" w:hAnsi="Arial"/>
                <w:color w:val="0D1B2A"/>
                <w:sz w:val="21"/>
                <w:szCs w:val="21"/>
              </w:rPr>
              <w:t xml:space="preserve">Claude returns each zone with a confidence score, a monetization potential rating, an estimated market rate, and the exact career evidence that justifies it.</w:t>
            </w:r>
          </w:p>
          <w:p>
            <w:pPr>
              <w:spacing w:after="40"/>
            </w:pPr>
            <w:r>
              <w:rPr>
                <w:rFonts w:ascii="Arial" w:cs="Arial" w:eastAsia="Arial" w:hAnsi="Arial"/>
                <w:color w:val="1B3A6B"/>
                <w:sz w:val="20"/>
                <w:szCs w:val="20"/>
              </w:rPr>
              <w:t xml:space="preserve">  ▶  </w:t>
            </w:r>
            <w:r>
              <w:rPr>
                <w:rFonts w:ascii="Arial" w:cs="Arial" w:eastAsia="Arial" w:hAnsi="Arial"/>
                <w:color w:val="0D1B2A"/>
                <w:sz w:val="21"/>
                <w:szCs w:val="21"/>
              </w:rPr>
              <w:t xml:space="preserve">You select the zone that resonates most, or accept Claude’s top recommendation. That zone becomes the anchor for your entire Simulation.</w:t>
            </w:r>
          </w:p>
        </w:tc>
      </w:tr>
      <w:tr>
        <w:tc>
          <w:tcPr>
            <w:tcW w:type="dxa" w:w="9360"/>
            <w:gridSpan w:val="2"/>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700"/>
            <w:tcBorders>
              <w:top w:val="none" w:color="0F6E56" w:sz="0"/>
              <w:left w:val="none" w:color="0F6E56" w:sz="0"/>
              <w:bottom w:val="none" w:color="0F6E56" w:sz="0"/>
              <w:right w:val="none" w:color="0F6E56" w:sz="0"/>
            </w:tcBorders>
            <w:shd w:fill="0F6E56" w:val="clear"/>
            <w:tcMar>
              <w:top w:type="dxa" w:w="120"/>
              <w:left w:type="dxa" w:w="100"/>
              <w:bottom w:type="dxa" w:w="120"/>
              <w:right w:type="dxa" w:w="100"/>
            </w:tcMar>
            <w:vAlign w:val="center"/>
          </w:tcPr>
          <w:p>
            <w:pPr>
              <w:jc w:val="center"/>
            </w:pPr>
            <w:r>
              <w:rPr>
                <w:rFonts w:ascii="Arial" w:cs="Arial" w:eastAsia="Arial" w:hAnsi="Arial"/>
                <w:color w:val="FFFFFF"/>
                <w:sz w:val="36"/>
                <w:szCs w:val="36"/>
              </w:rPr>
              <w:t xml:space="preserve">■</w:t>
            </w:r>
          </w:p>
          <w:p>
            <w:pPr>
              <w:jc w:val="center"/>
            </w:pPr>
            <w:r>
              <w:rPr>
                <w:rFonts w:ascii="Arial" w:cs="Arial" w:eastAsia="Arial" w:hAnsi="Arial"/>
                <w:b/>
                <w:bCs/>
                <w:color w:val="FFFFFF"/>
                <w:sz w:val="18"/>
                <w:szCs w:val="18"/>
              </w:rPr>
              <w:t xml:space="preserve">Q2</w:t>
            </w:r>
          </w:p>
        </w:tc>
        <w:tc>
          <w:tcPr>
            <w:tcW w:type="dxa" w:w="8660"/>
            <w:tcBorders>
              <w:top w:val="none" w:color="0F6E56" w:sz="0"/>
              <w:left w:val="none" w:color="0F6E56" w:sz="0"/>
              <w:bottom w:val="none" w:color="0F6E56" w:sz="0"/>
              <w:right w:val="none" w:color="0F6E56" w:sz="0"/>
            </w:tcBorders>
            <w:shd w:fill="0F6E56" w:val="clear"/>
            <w:tcMar>
              <w:top w:type="dxa" w:w="120"/>
              <w:left w:type="dxa" w:w="180"/>
              <w:bottom w:type="dxa" w:w="120"/>
              <w:right w:type="dxa" w:w="180"/>
            </w:tcMar>
            <w:vAlign w:val="center"/>
          </w:tcPr>
          <w:p>
            <w:r>
              <w:rPr>
                <w:rFonts w:ascii="Arial" w:cs="Arial" w:eastAsia="Arial" w:hAnsi="Arial"/>
                <w:b/>
                <w:bCs/>
                <w:color w:val="FFFFFF"/>
                <w:sz w:val="26"/>
                <w:szCs w:val="26"/>
              </w:rPr>
              <w:t xml:space="preserve">How is that excellence packaged into sellable products?</w:t>
            </w:r>
          </w:p>
        </w:tc>
      </w:tr>
      <w:tr>
        <w:tc>
          <w:tcPr>
            <w:tcW w:type="dxa" w:w="700"/>
            <w:tcBorders>
              <w:top w:val="none" w:color="E8F0FA" w:sz="0"/>
              <w:left w:val="none" w:color="E8F0FA" w:sz="0"/>
              <w:bottom w:val="none" w:color="E8F0FA" w:sz="0"/>
              <w:right w:val="none" w:color="E8F0FA" w:sz="0"/>
            </w:tcBorders>
            <w:shd w:fill="E8F0FA" w:val="clear"/>
            <w:tcMar>
              <w:top w:type="dxa" w:w="0"/>
              <w:left w:type="dxa" w:w="0"/>
              <w:bottom w:type="dxa" w:w="0"/>
              <w:right w:type="dxa" w:w="0"/>
            </w:tcMar>
          </w:tcPr>
          <w:p>
            <w:r>
              <w:t xml:space="preserve"/>
            </w:r>
          </w:p>
        </w:tc>
        <w:tc>
          <w:tcPr>
            <w:tcW w:type="dxa" w:w="8660"/>
            <w:tcBorders>
              <w:top w:val="none" w:color="E8F0FA" w:sz="0"/>
              <w:left w:val="none" w:color="E8F0FA" w:sz="0"/>
              <w:bottom w:val="none" w:color="E8F0FA" w:sz="0"/>
              <w:right w:val="none" w:color="E8F0FA" w:sz="0"/>
            </w:tcBorders>
            <w:shd w:fill="E8F0FA" w:val="clear"/>
            <w:tcMar>
              <w:top w:type="dxa" w:w="140"/>
              <w:left w:type="dxa" w:w="180"/>
              <w:bottom w:type="dxa" w:w="160"/>
              <w:right w:type="dxa" w:w="220"/>
            </w:tcMar>
          </w:tcPr>
          <w:p>
            <w:pPr>
              <w:spacing w:after="100"/>
            </w:pPr>
            <w:r>
              <w:rPr>
                <w:rFonts w:ascii="Arial" w:cs="Arial" w:eastAsia="Arial" w:hAnsi="Arial"/>
                <w:color w:val="0F6E56"/>
                <w:sz w:val="20"/>
                <w:szCs w:val="20"/>
              </w:rPr>
              <w:t xml:space="preserve">  ▶  </w:t>
            </w:r>
            <w:r>
              <w:rPr>
                <w:rFonts w:ascii="Arial" w:cs="Arial" w:eastAsia="Arial" w:hAnsi="Arial"/>
                <w:color w:val="0D1B2A"/>
                <w:sz w:val="21"/>
                <w:szCs w:val="21"/>
              </w:rPr>
              <w:t xml:space="preserve">Simulacrum maps your Expertise Zone across Layers 1 through 3 of the wealth pyramid: active consulting (Layer 1), leveraged group delivery (Layer 2), and productized IP (Layer 3).</w:t>
            </w:r>
          </w:p>
          <w:p>
            <w:pPr>
              <w:spacing w:after="100"/>
            </w:pPr>
            <w:r>
              <w:rPr>
                <w:rFonts w:ascii="Arial" w:cs="Arial" w:eastAsia="Arial" w:hAnsi="Arial"/>
                <w:color w:val="0F6E56"/>
                <w:sz w:val="20"/>
                <w:szCs w:val="20"/>
              </w:rPr>
              <w:t xml:space="preserve">  ▶  </w:t>
            </w:r>
            <w:r>
              <w:rPr>
                <w:rFonts w:ascii="Arial" w:cs="Arial" w:eastAsia="Arial" w:hAnsi="Arial"/>
                <w:color w:val="0D1B2A"/>
                <w:sz w:val="21"/>
                <w:szCs w:val="21"/>
              </w:rPr>
              <w:t xml:space="preserve">For each layer, Claude names specific products you could build: not “create a course” but “Data Architecture Masterclass on Maven, targeting senior engineers at Series B startups.”</w:t>
            </w:r>
          </w:p>
          <w:p>
            <w:pPr>
              <w:spacing w:after="100"/>
            </w:pPr>
            <w:r>
              <w:rPr>
                <w:rFonts w:ascii="Arial" w:cs="Arial" w:eastAsia="Arial" w:hAnsi="Arial"/>
                <w:color w:val="0F6E56"/>
                <w:sz w:val="20"/>
                <w:szCs w:val="20"/>
              </w:rPr>
              <w:t xml:space="preserve">  ▶  </w:t>
            </w:r>
            <w:r>
              <w:rPr>
                <w:rFonts w:ascii="Arial" w:cs="Arial" w:eastAsia="Arial" w:hAnsi="Arial"/>
                <w:color w:val="0D1B2A"/>
                <w:sz w:val="21"/>
                <w:szCs w:val="21"/>
              </w:rPr>
              <w:t xml:space="preserve">Every Income Stream recommendation comes with Claude’s AI reasoning — a direct explanation citing which of your Deliverables justifies that product, who the buyer is, and what the income range looks like.</w:t>
            </w:r>
          </w:p>
          <w:p>
            <w:pPr>
              <w:spacing w:after="40"/>
            </w:pPr>
            <w:r>
              <w:rPr>
                <w:rFonts w:ascii="Arial" w:cs="Arial" w:eastAsia="Arial" w:hAnsi="Arial"/>
                <w:color w:val="0F6E56"/>
                <w:sz w:val="20"/>
                <w:szCs w:val="20"/>
              </w:rPr>
              <w:t xml:space="preserve">  ▶  </w:t>
            </w:r>
            <w:r>
              <w:rPr>
                <w:rFonts w:ascii="Arial" w:cs="Arial" w:eastAsia="Arial" w:hAnsi="Arial"/>
                <w:color w:val="0D1B2A"/>
                <w:sz w:val="21"/>
                <w:szCs w:val="21"/>
              </w:rPr>
              <w:t xml:space="preserve">Layer refinement lets you constrain any layer (e.g., “focus only on asynchronous digital products, no live sessions”) and Claude regenerates that layer at no additional charge.</w:t>
            </w:r>
          </w:p>
        </w:tc>
      </w:tr>
      <w:tr>
        <w:tc>
          <w:tcPr>
            <w:tcW w:type="dxa" w:w="9360"/>
            <w:gridSpan w:val="2"/>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700"/>
            <w:tcBorders>
              <w:top w:val="none" w:color="BA7517" w:sz="0"/>
              <w:left w:val="none" w:color="BA7517" w:sz="0"/>
              <w:bottom w:val="none" w:color="BA7517" w:sz="0"/>
              <w:right w:val="none" w:color="BA7517" w:sz="0"/>
            </w:tcBorders>
            <w:shd w:fill="BA7517" w:val="clear"/>
            <w:tcMar>
              <w:top w:type="dxa" w:w="120"/>
              <w:left w:type="dxa" w:w="100"/>
              <w:bottom w:type="dxa" w:w="120"/>
              <w:right w:type="dxa" w:w="100"/>
            </w:tcMar>
            <w:vAlign w:val="center"/>
          </w:tcPr>
          <w:p>
            <w:pPr>
              <w:jc w:val="center"/>
            </w:pPr>
            <w:r>
              <w:rPr>
                <w:rFonts w:ascii="Arial" w:cs="Arial" w:eastAsia="Arial" w:hAnsi="Arial"/>
                <w:color w:val="FFFFFF"/>
                <w:sz w:val="36"/>
                <w:szCs w:val="36"/>
              </w:rPr>
              <w:t xml:space="preserve">▲</w:t>
            </w:r>
          </w:p>
          <w:p>
            <w:pPr>
              <w:jc w:val="center"/>
            </w:pPr>
            <w:r>
              <w:rPr>
                <w:rFonts w:ascii="Arial" w:cs="Arial" w:eastAsia="Arial" w:hAnsi="Arial"/>
                <w:b/>
                <w:bCs/>
                <w:color w:val="FFFFFF"/>
                <w:sz w:val="18"/>
                <w:szCs w:val="18"/>
              </w:rPr>
              <w:t xml:space="preserve">Q3</w:t>
            </w:r>
          </w:p>
        </w:tc>
        <w:tc>
          <w:tcPr>
            <w:tcW w:type="dxa" w:w="8660"/>
            <w:tcBorders>
              <w:top w:val="none" w:color="BA7517" w:sz="0"/>
              <w:left w:val="none" w:color="BA7517" w:sz="0"/>
              <w:bottom w:val="none" w:color="BA7517" w:sz="0"/>
              <w:right w:val="none" w:color="BA7517" w:sz="0"/>
            </w:tcBorders>
            <w:shd w:fill="BA7517" w:val="clear"/>
            <w:tcMar>
              <w:top w:type="dxa" w:w="120"/>
              <w:left w:type="dxa" w:w="180"/>
              <w:bottom w:type="dxa" w:w="120"/>
              <w:right w:type="dxa" w:w="180"/>
            </w:tcMar>
            <w:vAlign w:val="center"/>
          </w:tcPr>
          <w:p>
            <w:r>
              <w:rPr>
                <w:rFonts w:ascii="Arial" w:cs="Arial" w:eastAsia="Arial" w:hAnsi="Arial"/>
                <w:b/>
                <w:bCs/>
                <w:color w:val="FFFFFF"/>
                <w:sz w:val="26"/>
                <w:szCs w:val="26"/>
              </w:rPr>
              <w:t xml:space="preserve">How do those products eventually run without you?</w:t>
            </w:r>
          </w:p>
        </w:tc>
      </w:tr>
      <w:tr>
        <w:tc>
          <w:tcPr>
            <w:tcW w:type="dxa" w:w="700"/>
            <w:tcBorders>
              <w:top w:val="none" w:color="E8F0FA" w:sz="0"/>
              <w:left w:val="none" w:color="E8F0FA" w:sz="0"/>
              <w:bottom w:val="none" w:color="E8F0FA" w:sz="0"/>
              <w:right w:val="none" w:color="E8F0FA" w:sz="0"/>
            </w:tcBorders>
            <w:shd w:fill="E8F0FA" w:val="clear"/>
            <w:tcMar>
              <w:top w:type="dxa" w:w="0"/>
              <w:left w:type="dxa" w:w="0"/>
              <w:bottom w:type="dxa" w:w="0"/>
              <w:right w:type="dxa" w:w="0"/>
            </w:tcMar>
          </w:tcPr>
          <w:p>
            <w:r>
              <w:t xml:space="preserve"/>
            </w:r>
          </w:p>
        </w:tc>
        <w:tc>
          <w:tcPr>
            <w:tcW w:type="dxa" w:w="8660"/>
            <w:tcBorders>
              <w:top w:val="none" w:color="E8F0FA" w:sz="0"/>
              <w:left w:val="none" w:color="E8F0FA" w:sz="0"/>
              <w:bottom w:val="none" w:color="E8F0FA" w:sz="0"/>
              <w:right w:val="none" w:color="E8F0FA" w:sz="0"/>
            </w:tcBorders>
            <w:shd w:fill="E8F0FA" w:val="clear"/>
            <w:tcMar>
              <w:top w:type="dxa" w:w="140"/>
              <w:left w:type="dxa" w:w="180"/>
              <w:bottom w:type="dxa" w:w="160"/>
              <w:right w:type="dxa" w:w="220"/>
            </w:tcMar>
          </w:tcPr>
          <w:p>
            <w:pPr>
              <w:spacing w:after="100"/>
            </w:pPr>
            <w:r>
              <w:rPr>
                <w:rFonts w:ascii="Arial" w:cs="Arial" w:eastAsia="Arial" w:hAnsi="Arial"/>
                <w:color w:val="BA7517"/>
                <w:sz w:val="20"/>
                <w:szCs w:val="20"/>
              </w:rPr>
              <w:t xml:space="preserve">  ▶  </w:t>
            </w:r>
            <w:r>
              <w:rPr>
                <w:rFonts w:ascii="Arial" w:cs="Arial" w:eastAsia="Arial" w:hAnsi="Arial"/>
                <w:color w:val="0D1B2A"/>
                <w:sz w:val="21"/>
                <w:szCs w:val="21"/>
              </w:rPr>
              <w:t xml:space="preserve">Layers 4 and 5 are the Automation Blueprint. Layer 4 translates your productized income into fully automated systems: SEO content engines, email funnels, SaaS tools built on your methodology, and IP licensing arrangements.</w:t>
            </w:r>
          </w:p>
          <w:p>
            <w:pPr>
              <w:spacing w:after="100"/>
            </w:pPr>
            <w:r>
              <w:rPr>
                <w:rFonts w:ascii="Arial" w:cs="Arial" w:eastAsia="Arial" w:hAnsi="Arial"/>
                <w:color w:val="BA7517"/>
                <w:sz w:val="20"/>
                <w:szCs w:val="20"/>
              </w:rPr>
              <w:t xml:space="preserve">  ▶  </w:t>
            </w:r>
            <w:r>
              <w:rPr>
                <w:rFonts w:ascii="Arial" w:cs="Arial" w:eastAsia="Arial" w:hAnsi="Arial"/>
                <w:color w:val="0D1B2A"/>
                <w:sz w:val="21"/>
                <w:szCs w:val="21"/>
              </w:rPr>
              <w:t xml:space="preserve">Layer 5 closes the flywheel: revenue from the automation layer is deployed into compounding wealth vehicles — index funds, real estate equity, dividend portfolios, and angel positions — with recommendations calibrated to your income profile.</w:t>
            </w:r>
          </w:p>
          <w:p>
            <w:pPr>
              <w:spacing w:after="100"/>
            </w:pPr>
            <w:r>
              <w:rPr>
                <w:rFonts w:ascii="Arial" w:cs="Arial" w:eastAsia="Arial" w:hAnsi="Arial"/>
                <w:color w:val="BA7517"/>
                <w:sz w:val="20"/>
                <w:szCs w:val="20"/>
              </w:rPr>
              <w:t xml:space="preserve">  ▶  </w:t>
            </w:r>
            <w:r>
              <w:rPr>
                <w:rFonts w:ascii="Arial" w:cs="Arial" w:eastAsia="Arial" w:hAnsi="Arial"/>
                <w:color w:val="0D1B2A"/>
                <w:sz w:val="21"/>
                <w:szCs w:val="21"/>
              </w:rPr>
              <w:t xml:space="preserve">An admin-controlled fintech toggle enables live integration with Plaid or Alpaca to surface real fund options and brokerage links when the platform is ready for that capability.</w:t>
            </w:r>
          </w:p>
          <w:p>
            <w:pPr>
              <w:spacing w:after="40"/>
            </w:pPr>
            <w:r>
              <w:rPr>
                <w:rFonts w:ascii="Arial" w:cs="Arial" w:eastAsia="Arial" w:hAnsi="Arial"/>
                <w:color w:val="BA7517"/>
                <w:sz w:val="20"/>
                <w:szCs w:val="20"/>
              </w:rPr>
              <w:t xml:space="preserve">  ▶  </w:t>
            </w:r>
            <w:r>
              <w:rPr>
                <w:rFonts w:ascii="Arial" w:cs="Arial" w:eastAsia="Arial" w:hAnsi="Arial"/>
                <w:color w:val="0D1B2A"/>
                <w:sz w:val="21"/>
                <w:szCs w:val="21"/>
              </w:rPr>
              <w:t xml:space="preserve">The result is a complete, compounding system: Expertise → Content → Audience → Products → Automation → Wealth — each layer feeding the next.</w:t>
            </w:r>
          </w:p>
        </w:tc>
      </w:tr>
      <w:tr>
        <w:tc>
          <w:tcPr>
            <w:tcW w:type="dxa" w:w="9360"/>
            <w:gridSpan w:val="2"/>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9360"/>
            <w:gridSpan w:val="2"/>
            <w:tcBorders>
              <w:top w:val="none" w:color="0D1B2A" w:sz="0"/>
              <w:left w:val="none" w:color="0D1B2A" w:sz="0"/>
              <w:bottom w:val="none" w:color="0D1B2A" w:sz="0"/>
              <w:right w:val="none" w:color="0D1B2A" w:sz="0"/>
            </w:tcBorders>
            <w:shd w:fill="0D1B2A" w:val="clear"/>
            <w:tcMar>
              <w:top w:type="dxa" w:w="140"/>
              <w:left w:type="dxa" w:w="240"/>
              <w:bottom w:type="dxa" w:w="140"/>
              <w:right w:type="dxa" w:w="240"/>
            </w:tcMar>
          </w:tcPr>
          <w:p>
            <w:pPr>
              <w:spacing w:after="80"/>
              <w:jc w:val="center"/>
            </w:pPr>
            <w:r>
              <w:rPr>
                <w:rFonts w:ascii="Arial" w:cs="Arial" w:eastAsia="Arial" w:hAnsi="Arial"/>
                <w:b/>
                <w:bCs/>
                <w:color w:val="A8C8F0"/>
                <w:sz w:val="19"/>
                <w:szCs w:val="19"/>
              </w:rPr>
              <w:t xml:space="preserve">Q1 Answer: </w:t>
            </w:r>
            <w:r>
              <w:rPr>
                <w:rFonts w:ascii="Arial" w:cs="Arial" w:eastAsia="Arial" w:hAnsi="Arial"/>
                <w:color w:val="FFFFFF"/>
                <w:sz w:val="19"/>
                <w:szCs w:val="19"/>
              </w:rPr>
              <w:t xml:space="preserve">Your Expertise Zone   </w:t>
            </w:r>
            <w:r>
              <w:rPr>
                <w:rFonts w:ascii="Arial" w:cs="Arial" w:eastAsia="Arial" w:hAnsi="Arial"/>
                <w:color w:val="6699CC"/>
                <w:sz w:val="19"/>
                <w:szCs w:val="19"/>
              </w:rPr>
              <w:t xml:space="preserve">→   </w:t>
            </w:r>
            <w:r>
              <w:rPr>
                <w:rFonts w:ascii="Arial" w:cs="Arial" w:eastAsia="Arial" w:hAnsi="Arial"/>
                <w:b/>
                <w:bCs/>
                <w:color w:val="A8D8B8"/>
                <w:sz w:val="19"/>
                <w:szCs w:val="19"/>
              </w:rPr>
              <w:t xml:space="preserve">Q2 Answer: </w:t>
            </w:r>
            <w:r>
              <w:rPr>
                <w:rFonts w:ascii="Arial" w:cs="Arial" w:eastAsia="Arial" w:hAnsi="Arial"/>
                <w:color w:val="FFFFFF"/>
                <w:sz w:val="19"/>
                <w:szCs w:val="19"/>
              </w:rPr>
              <w:t xml:space="preserve">Your Income Streams   </w:t>
            </w:r>
            <w:r>
              <w:rPr>
                <w:rFonts w:ascii="Arial" w:cs="Arial" w:eastAsia="Arial" w:hAnsi="Arial"/>
                <w:color w:val="6699CC"/>
                <w:sz w:val="19"/>
                <w:szCs w:val="19"/>
              </w:rPr>
              <w:t xml:space="preserve">→   </w:t>
            </w:r>
            <w:r>
              <w:rPr>
                <w:rFonts w:ascii="Arial" w:cs="Arial" w:eastAsia="Arial" w:hAnsi="Arial"/>
                <w:b/>
                <w:bCs/>
                <w:color w:val="FAC775"/>
                <w:sz w:val="19"/>
                <w:szCs w:val="19"/>
              </w:rPr>
              <w:t xml:space="preserve">Q3 Answer: </w:t>
            </w:r>
            <w:r>
              <w:rPr>
                <w:rFonts w:ascii="Arial" w:cs="Arial" w:eastAsia="Arial" w:hAnsi="Arial"/>
                <w:color w:val="FFFFFF"/>
                <w:sz w:val="19"/>
                <w:szCs w:val="19"/>
              </w:rPr>
              <w:t xml:space="preserve">Your Automated Wealth Engine</w:t>
            </w:r>
          </w:p>
          <w:p>
            <w:pPr>
              <w:jc w:val="center"/>
            </w:pPr>
            <w:r>
              <w:rPr>
                <w:rFonts w:ascii="Arial" w:cs="Arial" w:eastAsia="Arial" w:hAnsi="Arial"/>
                <w:i/>
                <w:iCs/>
                <w:color w:val="6699CC"/>
                <w:sz w:val="18"/>
                <w:szCs w:val="18"/>
              </w:rPr>
              <w:t xml:space="preserve">Each Simulation answers all three questions simultaneously — grounded in your real career, priced at the admin-configured rate.</w:t>
            </w:r>
          </w:p>
        </w:tc>
      </w:tr>
    </w:tbl>
    <w:p>
      <w:r>
        <w:br w:type="page"/>
      </w:r>
    </w:p>
    <w:p>
      <w:pPr>
        <w:pStyle w:val="Heading1"/>
      </w:pPr>
      <w:r>
        <w:t xml:space="preserve">15. Referral Partner &amp; Advisor Access Program</w:t>
      </w:r>
    </w:p>
    <w:p>
      <w:pPr>
        <w:spacing w:after="120"/>
      </w:pPr>
      <w:r>
        <w:rPr>
          <w:rFonts w:ascii="Arial" w:cs="Arial" w:eastAsia="Arial" w:hAnsi="Arial"/>
          <w:color w:val="444444"/>
          <w:sz w:val="22"/>
          <w:szCs w:val="22"/>
        </w:rPr>
        <w:t xml:space="preserve">Simulacrum supports a structured Referral Partner Program enabling life coaches, financial advisors, and career coaches to refer their clients to the platform and earn a commission on every Simulation their referred clients generate. Separately, clients may grant their advisor full read-only access to their Simulation for the purpose of coaching sessions. These two features — referral commission tracking and advisor view access — are distinct but architecturally linked through the ReferralPartner entity.</w:t>
      </w:r>
    </w:p>
    <w:p>
      <w:pPr>
        <w:spacing w:after="120"/>
      </w:pPr>
      <w:r>
        <w:t xml:space="preserve"/>
      </w:r>
    </w:p>
    <w:p>
      <w:pPr>
        <w:pStyle w:val="Heading2"/>
      </w:pPr>
      <w:r>
        <w:t xml:space="preserve">15.1 Program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Commission Model</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Percentage of each Simulation charge earned by the referring partner. Applied at the moment of successful payment. Each partner has an individually configured commission rate set by the admin. A global default rate (stored in platform_settings under 'partner_commission_rate', default 20%) is applied automatically to all newly approved partners unless the admin overrides it at the time of approval or updates it afterward.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Rate Governance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configures each partner's commission rate individually via the Admin Panel. The rate is stored on the referral_partners record (commission_rate field) and is specific to that partner. The global default (partner_commission_rate in platform_settings) is used only as the pre-fill value when approving a new partner — changing the global default does not retroactively update any partner's individual rate. Commission rates already applied to logged commission records are always immutable regardless of any subsequent rate change.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Payout Method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Stripe Connect. Partners must complete Stripe Connect onboarding before any commission is disbursed. Earnings accumulate in the partner ledger until the next payout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Payout 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Admin-configurable in platform_settings under 'payout_schedule': weekly, bi-weekly, or monthly. Payout is triggered automatically by a Celery scheduled task on the configured cadence.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Referral Attribution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Each partner receives a unique 9-character alphanumeric referral code (CHAR 9, generated by the same id_gen utility). Attribution is captured via URL parameter (?ref=CODE) on signup. Stored as a session cookie persisting through registration and first checkout.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Attribution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30 days from first click. If a user clicks a referral link, registers within 30 days, and generates a Simulation within 30 days of registration, the referring partner earns the commission.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Eligible Events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Commission is earned on every Simulation generated by a referred client — not just the first. A referred client who generates 10 Simulations earns their referring partner 10 commission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Advisor View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Any registered partner may be granted full read-only access to a client's Simulation. The client initiates the share. The advisor sees all 5 layers, all income streams, all AI reasoning, and all agent action artifacts. No edit or regeneration capability.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Partner Types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Life Coach, Financial Advisor, Career Coach, Business Coach, Other. Type is self-declared at onboarding and displayed in the Admin Partner roster for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Partner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Pending (applied, awaiting admin approval), Active (approved, earning commissions), Suspended (commissions paused by admin), Inactive (self-deactivated).</w:t>
            </w:r>
          </w:p>
        </w:tc>
      </w:tr>
    </w:tbl>
    <w:p>
      <w:pPr>
        <w:spacing w:after="160"/>
      </w:pPr>
      <w:r>
        <w:t xml:space="preserve"/>
      </w:r>
    </w:p>
    <w:p>
      <w:pPr>
        <w:pStyle w:val="Heading2"/>
      </w:pPr>
      <w:r>
        <w:t xml:space="preserve">15.2 Partner Onboarding Flow</w:t>
      </w:r>
    </w:p>
    <w:p>
      <w:pPr>
        <w:spacing w:after="120"/>
      </w:pPr>
      <w:r>
        <w:rPr>
          <w:rFonts w:ascii="Arial" w:cs="Arial" w:eastAsia="Arial" w:hAnsi="Arial"/>
          <w:color w:val="444444"/>
          <w:sz w:val="22"/>
          <w:szCs w:val="22"/>
        </w:rPr>
        <w:t xml:space="preserve">A prospective partner applies via a public-facing /partners/apply page. The form collects the following information before the application is submitted for admin review.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 / Action</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 form</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name, business name (optional), email, partner type (Life Coach / Financial Advisor / Career Coach / Business Coach / Other), website or LinkedIn URL, brief description of practice (free text, 300 chars max), agreement to partner terms.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Admin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sees pending application in the Admin Panel. One-click Approve or Decline. On approval, the system generates the partner's referral code (CHAR 9) and sends a welcome email with the referral link, dashboard URL, and Stripe Connect onboarding link.</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Stripe Connect onboarding</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Partner completes Stripe Connect Express onboarding (identity verification, bank account linkage). Commissions accumulate in ledger regardless of Stripe status, but payouts are blocked until Stripe Connect is complete. Dashboard shows a 'Complete Payout Setup' banner until resolved.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Partner Dashboard access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Partner logs in to their Partner Dashboard (separate auth flow from main user accounts, or unified login with role-based routing). Dashboard shows referral link, earnings summary, client roster, payout history, and advisor view access panel.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Share referral link</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Partner copies their unique referral link (simulacrum.io/ref/CODE) and shares it with clients via email, social media, their own website, or embedded in a coaching intake workflow. The Partner Dashboard also provides a built-in 'Send Referral' panel where the partner enters a client's name and email address, optionally personalizes the invitation message, and sends a branded referral invitation email directly from the platform on their behalf.</w:t>
            </w:r>
          </w:p>
        </w:tc>
      </w:tr>
    </w:tbl>
    <w:p>
      <w:pPr>
        <w:spacing w:after="160"/>
      </w:pPr>
      <w:r>
        <w:t xml:space="preserve"/>
      </w:r>
    </w:p>
    <w:p>
      <w:pPr>
        <w:pStyle w:val="Heading2"/>
      </w:pPr>
      <w:r>
        <w:t xml:space="preserve">15.3 Commission Calculation &amp; Ledger</w:t>
      </w:r>
    </w:p>
    <w:p>
      <w:pPr>
        <w:spacing w:after="120"/>
      </w:pPr>
      <w:r>
        <w:rPr>
          <w:rFonts w:ascii="Arial" w:cs="Arial" w:eastAsia="Arial" w:hAnsi="Arial"/>
          <w:color w:val="444444"/>
          <w:sz w:val="22"/>
          <w:szCs w:val="22"/>
        </w:rPr>
        <w:t xml:space="preserve">Commission is calculated and logged at the moment a referred client's Stripe payment is confirmed. The calculation uses the exact amount charged and the commission rate active at that moment — both values are stored on the commission record for immutability.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1"/>
              <w:left w:val="single" w:color="1B2B3B" w:sz="1"/>
              <w:bottom w:val="single" w:color="1B2B3B" w:sz="1"/>
              <w:right w:val="single" w:color="1B2B3B" w:sz="1"/>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Commission calculation (services/commission_service.py)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calculate_commission(simulation_charge_amount: float, partner_id: str) -&gt; float:</w:t>
            </w:r>
          </w:p>
          <w:p>
            <w:pPr>
              <w:spacing w:after="0"/>
            </w:pPr>
            <w:r>
              <w:rPr>
                <w:rFonts w:ascii="Courier New" w:cs="Courier New" w:eastAsia="Courier New" w:hAnsi="Courier New"/>
                <w:color w:val="A8D8A8"/>
                <w:sz w:val="17"/>
                <w:szCs w:val="17"/>
              </w:rPr>
              <w:t xml:space="preserve">    # Each partner has their own rate stored on their referral_partners record.</w:t>
            </w:r>
          </w:p>
          <w:p>
            <w:pPr>
              <w:spacing w:after="0"/>
            </w:pPr>
            <w:r>
              <w:rPr>
                <w:rFonts w:ascii="Courier New" w:cs="Courier New" w:eastAsia="Courier New" w:hAnsi="Courier New"/>
                <w:color w:val="A8D8A8"/>
                <w:sz w:val="17"/>
                <w:szCs w:val="17"/>
              </w:rPr>
              <w:t xml:space="preserve">    # The global platform_settings 'partner_commission_rate' is the default</w:t>
            </w:r>
          </w:p>
          <w:p>
            <w:pPr>
              <w:spacing w:after="0"/>
            </w:pPr>
            <w:r>
              <w:rPr>
                <w:rFonts w:ascii="Courier New" w:cs="Courier New" w:eastAsia="Courier New" w:hAnsi="Courier New"/>
                <w:color w:val="A8D8A8"/>
                <w:sz w:val="17"/>
                <w:szCs w:val="17"/>
              </w:rPr>
              <w:t xml:space="preserve">    # applied at approval time — not used at commission calculation time.</w:t>
            </w:r>
          </w:p>
          <w:p>
            <w:pPr>
              <w:spacing w:after="0"/>
            </w:pPr>
            <w:r>
              <w:rPr>
                <w:rFonts w:ascii="Courier New" w:cs="Courier New" w:eastAsia="Courier New" w:hAnsi="Courier New"/>
                <w:color w:val="A8D8A8"/>
                <w:sz w:val="17"/>
                <w:szCs w:val="17"/>
              </w:rPr>
              <w:t xml:space="preserve">    partner = ReferralPartner.query.get(partner_id)</w:t>
            </w:r>
          </w:p>
          <w:p>
            <w:pPr>
              <w:spacing w:after="0"/>
            </w:pPr>
            <w:r>
              <w:rPr>
                <w:rFonts w:ascii="Courier New" w:cs="Courier New" w:eastAsia="Courier New" w:hAnsi="Courier New"/>
                <w:color w:val="A8D8A8"/>
                <w:sz w:val="17"/>
                <w:szCs w:val="17"/>
              </w:rPr>
              <w:t xml:space="preserve">    rate = partner.commission_rate  # e.g. 0.25 for this partner</w:t>
            </w:r>
          </w:p>
          <w:p>
            <w:pPr>
              <w:spacing w:after="0"/>
            </w:pPr>
            <w:r>
              <w:rPr>
                <w:rFonts w:ascii="Courier New" w:cs="Courier New" w:eastAsia="Courier New" w:hAnsi="Courier New"/>
                <w:color w:val="A8D8A8"/>
                <w:sz w:val="17"/>
                <w:szCs w:val="17"/>
              </w:rPr>
              <w:t xml:space="preserve">    return round(simulation_charge_amount * rate, 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A: partner rate = 20%, simulation_price = $12.00</w:t>
            </w:r>
          </w:p>
          <w:p>
            <w:pPr>
              <w:spacing w:after="0"/>
            </w:pPr>
            <w:r>
              <w:rPr>
                <w:rFonts w:ascii="Courier New" w:cs="Courier New" w:eastAsia="Courier New" w:hAnsi="Courier New"/>
                <w:color w:val="A8D8A8"/>
                <w:sz w:val="17"/>
                <w:szCs w:val="17"/>
              </w:rPr>
              <w:t xml:space="preserve"># commission = round(12.00 * 0.20, 2) = $2.40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B: partner rate = 30%, simulation_price = $12.00</w:t>
            </w:r>
          </w:p>
          <w:p>
            <w:pPr>
              <w:spacing w:after="0"/>
            </w:pPr>
            <w:r>
              <w:rPr>
                <w:rFonts w:ascii="Courier New" w:cs="Courier New" w:eastAsia="Courier New" w:hAnsi="Courier New"/>
                <w:color w:val="A8D8A8"/>
                <w:sz w:val="17"/>
                <w:szCs w:val="17"/>
              </w:rPr>
              <w:t xml:space="preserve"># commission = round(12.00 * 0.30, 2) = $3.60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Commission record written on Stripe payment_intent.succeeded webhook:</w:t>
            </w:r>
          </w:p>
          <w:p>
            <w:pPr>
              <w:spacing w:after="0"/>
            </w:pPr>
            <w:r>
              <w:rPr>
                <w:rFonts w:ascii="Courier New" w:cs="Courier New" w:eastAsia="Courier New" w:hAnsi="Courier New"/>
                <w:color w:val="A8D8A8"/>
                <w:sz w:val="17"/>
                <w:szCs w:val="17"/>
              </w:rPr>
              <w:t xml:space="preserve"># commissions table:</w:t>
            </w:r>
          </w:p>
          <w:p>
            <w:pPr>
              <w:spacing w:after="0"/>
            </w:pPr>
            <w:r>
              <w:rPr>
                <w:rFonts w:ascii="Courier New" w:cs="Courier New" w:eastAsia="Courier New" w:hAnsi="Courier New"/>
                <w:color w:val="A8D8A8"/>
                <w:sz w:val="17"/>
                <w:szCs w:val="17"/>
              </w:rPr>
              <w:t xml:space="preserve">#   id                  CHAR(9) PK</w:t>
            </w:r>
          </w:p>
          <w:p>
            <w:pPr>
              <w:spacing w:after="0"/>
            </w:pPr>
            <w:r>
              <w:rPr>
                <w:rFonts w:ascii="Courier New" w:cs="Courier New" w:eastAsia="Courier New" w:hAnsi="Courier New"/>
                <w:color w:val="A8D8A8"/>
                <w:sz w:val="17"/>
                <w:szCs w:val="17"/>
              </w:rPr>
              <w:t xml:space="preserve">#   partner_id          CHAR(9) FK -&gt; referral_partners.id</w:t>
            </w:r>
          </w:p>
          <w:p>
            <w:pPr>
              <w:spacing w:after="0"/>
            </w:pPr>
            <w:r>
              <w:rPr>
                <w:rFonts w:ascii="Courier New" w:cs="Courier New" w:eastAsia="Courier New" w:hAnsi="Courier New"/>
                <w:color w:val="A8D8A8"/>
                <w:sz w:val="17"/>
                <w:szCs w:val="17"/>
              </w:rPr>
              <w:t xml:space="preserve">#   simulation_id       CHAR(9) FK -&gt; simulations.id</w:t>
            </w:r>
          </w:p>
          <w:p>
            <w:pPr>
              <w:spacing w:after="0"/>
            </w:pPr>
            <w:r>
              <w:rPr>
                <w:rFonts w:ascii="Courier New" w:cs="Courier New" w:eastAsia="Courier New" w:hAnsi="Courier New"/>
                <w:color w:val="A8D8A8"/>
                <w:sz w:val="17"/>
                <w:szCs w:val="17"/>
              </w:rPr>
              <w:t xml:space="preserve">#   client_user_id      CHAR(9) FK -&gt; users.id</w:t>
            </w:r>
          </w:p>
          <w:p>
            <w:pPr>
              <w:spacing w:after="0"/>
            </w:pPr>
            <w:r>
              <w:rPr>
                <w:rFonts w:ascii="Courier New" w:cs="Courier New" w:eastAsia="Courier New" w:hAnsi="Courier New"/>
                <w:color w:val="A8D8A8"/>
                <w:sz w:val="17"/>
                <w:szCs w:val="17"/>
              </w:rPr>
              <w:t xml:space="preserve">#   simulation_charge   DECIMAL(8,2)  — amount the client was charged</w:t>
            </w:r>
          </w:p>
          <w:p>
            <w:pPr>
              <w:spacing w:after="0"/>
            </w:pPr>
            <w:r>
              <w:rPr>
                <w:rFonts w:ascii="Courier New" w:cs="Courier New" w:eastAsia="Courier New" w:hAnsi="Courier New"/>
                <w:color w:val="A8D8A8"/>
                <w:sz w:val="17"/>
                <w:szCs w:val="17"/>
              </w:rPr>
              <w:t xml:space="preserve">#   commission_rate     DECIMAL(5,4)  — this partner's rate at time of charge</w:t>
            </w:r>
          </w:p>
          <w:p>
            <w:pPr>
              <w:spacing w:after="0"/>
            </w:pPr>
            <w:r>
              <w:rPr>
                <w:rFonts w:ascii="Courier New" w:cs="Courier New" w:eastAsia="Courier New" w:hAnsi="Courier New"/>
                <w:color w:val="A8D8A8"/>
                <w:sz w:val="17"/>
                <w:szCs w:val="17"/>
              </w:rPr>
              <w:t xml:space="preserve">#   commission_amount   DECIMAL(8,2)  — calculated commission</w:t>
            </w:r>
          </w:p>
          <w:p>
            <w:pPr>
              <w:spacing w:after="0"/>
            </w:pPr>
            <w:r>
              <w:rPr>
                <w:rFonts w:ascii="Courier New" w:cs="Courier New" w:eastAsia="Courier New" w:hAnsi="Courier New"/>
                <w:color w:val="A8D8A8"/>
                <w:sz w:val="17"/>
                <w:szCs w:val="17"/>
              </w:rPr>
              <w:t xml:space="preserve">#   status              ENUM('pending','paid','refunded')</w:t>
            </w:r>
          </w:p>
          <w:p>
            <w:pPr>
              <w:spacing w:after="0"/>
            </w:pPr>
            <w:r>
              <w:rPr>
                <w:rFonts w:ascii="Courier New" w:cs="Courier New" w:eastAsia="Courier New" w:hAnsi="Courier New"/>
                <w:color w:val="A8D8A8"/>
                <w:sz w:val="17"/>
                <w:szCs w:val="17"/>
              </w:rPr>
              <w:t xml:space="preserve">#   stripe_transfer_id  VARCHAR(255)  — populated on payout</w:t>
            </w:r>
          </w:p>
          <w:p>
            <w:pPr>
              <w:spacing w:after="0"/>
            </w:pPr>
            <w:r>
              <w:rPr>
                <w:rFonts w:ascii="Courier New" w:cs="Courier New" w:eastAsia="Courier New" w:hAnsi="Courier New"/>
                <w:color w:val="A8D8A8"/>
                <w:sz w:val="17"/>
                <w:szCs w:val="17"/>
              </w:rPr>
              <w:t xml:space="preserve">#   created_at          DATETIME</w:t>
            </w:r>
          </w:p>
          <w:p>
            <w:pPr>
              <w:spacing w:after="0"/>
            </w:pPr>
            <w:r>
              <w:rPr>
                <w:rFonts w:ascii="Courier New" w:cs="Courier New" w:eastAsia="Courier New" w:hAnsi="Courier New"/>
                <w:color w:val="A8D8A8"/>
                <w:sz w:val="17"/>
                <w:szCs w:val="17"/>
              </w:rPr>
              <w:t xml:space="preserve">#   paid_at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On Simulation refund: commission status -&gt; 'refunded', not paid out.</w:t>
            </w:r>
          </w:p>
        </w:tc>
      </w:tr>
    </w:tbl>
    <w:p>
      <w:pPr>
        <w:spacing w:after="160"/>
      </w:pPr>
      <w:r>
        <w:t xml:space="preserve"/>
      </w:r>
    </w:p>
    <w:p>
      <w:pPr>
        <w:pStyle w:val="Heading2"/>
      </w:pPr>
      <w:r>
        <w:t xml:space="preserve">15.4 Partner Dashboard</w:t>
      </w:r>
    </w:p>
    <w:p>
      <w:pPr>
        <w:spacing w:after="120"/>
      </w:pPr>
      <w:r>
        <w:rPr>
          <w:rFonts w:ascii="Arial" w:cs="Arial" w:eastAsia="Arial" w:hAnsi="Arial"/>
          <w:color w:val="444444"/>
          <w:sz w:val="22"/>
          <w:szCs w:val="22"/>
        </w:rPr>
        <w:t xml:space="preserve">The Partner Dashboard is the partner's primary interface. It is accessible at /partners/dashboard after login and is entirely separate from the main Simulacrum user experience. It contains five primary panels.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Panel</w:t>
            </w:r>
          </w:p>
        </w:tc>
        <w:tc>
          <w:tcPr>
            <w:tcW w:type="dxa" w:w="7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 &amp; Behavior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Earnings Summary</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Four metric cards at the top of the dashboard: Total Earned (all time), Pending Payout (accumulated since last payout), Paid to Date (sum of all completed payouts), and My Commission Rate (this partner's individually configured rate, read-only — set by admin). A banner displays 'Complete Payout Setup' until Stripe Connect onboarding is finished. A secondary banner shows the next scheduled payout date based on the admin-configured payout_schedule.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Send Referral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dedicated panel that allows the partner to send a branded referral invitation email to one or more clients directly from the platform. Fields: Client First Name, Client Email Address (required), Personal Message (optional, 500 chars max, pre-populated with a default invitation template). A 'Send Invitation' button triggers the platform email service to dispatch the invitation. The email is sent from a platform address (e.g. referrals@simulacrum.io) with the partner's name in the sender display ('Jane Smith via Simulacrum') and contains the partner's unique referral link, a brief description of Simulacrum, and a clear call-to-action to sign up. The invitation record is stored in the referral_invitations table with status Sent. If the recipient signs up through the embedded link within the attribution window, the invitation status updates to Converted and commission accrues as normal. The panel displays a running log of all sent invitations: recipient name, email, date sent, status (Sent / Opened / Converted / Expired), and commission earned if converted.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Client Roster</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table of all referred clients who have signed up and generated at least one Simulation. Columns: Client Full Name, Email Address, Signup Date, Simulations Generated (count), Total Commission Earned from this client (sum), Last Activity Date. Rows are sorted by most recent activity. Admin-facing version shows all partners' rosters; partner sees only their own. Export to CSV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Payout History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chronological log of all payouts received. Columns: Payout Date, Amount, Stripe Transfer ID (with link to Stripe dashboard), Status (Completed / Processing / Failed). Each payout row is expandable to show the individual commission records included in that payout batch — displaying the Simulation ID, client name, charge amount, rate applied, and commission earned for each line item.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My Clients — Advisor View</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roster of clients who have granted the partner advisor view access to their Simulation. Columns: Client Name, Email, Simulation Name, Expertise Zone, Date Access Granted, Last Viewed by Advisor. Each row has a 'View Simulation' button that opens the client's full Simulation in a read-only advisor view — all 5 layers, all income streams with AI reasoning, and all agent action artifacts visible. The partner can add coaching notes per layer (stored in advisor_notes table, visible only to the advisor and the client). No edit, regenerate, or export capability.</w:t>
            </w:r>
          </w:p>
        </w:tc>
      </w:tr>
    </w:tbl>
    <w:p>
      <w:pPr>
        <w:spacing w:after="160"/>
      </w:pPr>
      <w:r>
        <w:t xml:space="preserve"/>
      </w:r>
    </w:p>
    <w:p>
      <w:pPr>
        <w:pStyle w:val="Heading2"/>
      </w:pPr>
      <w:r>
        <w:t xml:space="preserve">15.5 Advisor View Access — Client Grant Flow</w:t>
      </w:r>
    </w:p>
    <w:p>
      <w:pPr>
        <w:spacing w:after="120"/>
      </w:pPr>
      <w:r>
        <w:rPr>
          <w:rFonts w:ascii="Arial" w:cs="Arial" w:eastAsia="Arial" w:hAnsi="Arial"/>
          <w:color w:val="444444"/>
          <w:sz w:val="22"/>
          <w:szCs w:val="22"/>
        </w:rPr>
        <w:t xml:space="preserve">Advisor View Access is distinct from the existing Collaboration feature. It is a read-only coaching view, not a collaborative editing session. The client remains the sole owner of the Simulation. The advisor cannot modify, regenerate, export, or share the Simulation.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5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&amp; System Response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Client</w:t>
            </w:r>
          </w:p>
        </w:tc>
        <w:tc>
          <w:tcPr>
            <w:tcW w:type="dxa" w:w="5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Opens a Simulation from their Dashboard. Clicks 'Share with Advisor' button in the Simulation header.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Client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Enters their advisor's email address in the share dialog. If the email matches an Active referral partner account, the system displays the partner's name and type for confirmation ('Share with Jane Smith — Life Coach?'). If no match, the system sends an invitation email prompting the recipient to apply as a Referral Partner to access the shared Simulation.</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System</w:t>
            </w:r>
          </w:p>
        </w:tc>
        <w:tc>
          <w:tcPr>
            <w:tcW w:type="dxa" w:w="5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Creates an advisor_access record: id (CHAR 9), simulation_id, partner_id (or pending_email if not yet a partner), granted_by (client user_id), access_level ('full_read'), granted_at, revoked_at (NULL until revoked). Sends a notification email to the advisor with a direct link to the Simulation in read-only mode.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Advisor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Logs into Partner Dashboard. Sees the shared Simulation appear in the 'My Clients — Advisor View' panel. Clicks 'View Simulation' to open the full read-only Simulation view.</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Advisor</w:t>
            </w:r>
          </w:p>
        </w:tc>
        <w:tc>
          <w:tcPr>
            <w:tcW w:type="dxa" w:w="5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 read-only view: sees all 5 layers fully expanded, all income streams with AI reasoning, all agent action result panels and downloadable artifacts. Can add coaching notes to any layer via a sidebar note panel. Notes are saved to advisor_notes table and are visible to both the advisor and the client.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Client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Can revoke advisor access at any time from the Simulation's 'Sharing' settings panel. Revocation immediately removes the Simulation from the advisor's 'My Clients' panel and invalidates any existing direct access links.</w:t>
            </w:r>
          </w:p>
        </w:tc>
      </w:tr>
    </w:tbl>
    <w:p>
      <w:pPr>
        <w:spacing w:after="160"/>
      </w:pPr>
      <w:r>
        <w:t xml:space="preserve"/>
      </w:r>
    </w:p>
    <w:p>
      <w:pPr>
        <w:pStyle w:val="Heading2"/>
      </w:pPr>
      <w:r>
        <w:t xml:space="preserve">15.6 Data Models —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referral_invitations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partner_id (CHAR 9, FK), recipient_name, recipient_email, personal_message (TEXT), referral_code (CHAR 9), status, sent_at, opened_at, converted_at, commission_id (CHAR 9, FK NULL)</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invitation sent via the Partner Dashboard Send Referral panel. status: sent | opened | converted | expired (30 days from sent_at with no signup). commission_id populated if the recipient converts and a commission is earned. opened_at tracked via a 1px tracking pixel in the invitation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referral_partners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user_id (CHAR 9, FK), referral_code (CHAR 9, UNIQUE), full_name, business_name, partner_type, email, commission_rate (DECIMAL 5,4), stripe_connect_id, status, applied_at, approved_at, approved_by (CHAR 9,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partner. commission_rate stores this partner's individual percentage as a decimal (e.g. 0.2500 = 25%). Populated from the global default (partner_commission_rate in platform_settings) at approval time. Admin can update it per partner at any time after approval. referral_code is the unique 9-char code embedded in the referral URL. status: pending | active | suspended | inactive.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referral_signups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partner_id (CHAR 9, FK), referred_user_id (CHAR 9, FK), referral_code, clicked_at, registered_at, attributed_at</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referred user signup successfully attributed to a partner. attributed_at marks when the first Simulation charge was completed within the attribution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commissions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partner_id (CHAR 9, FK), simulation_id (CHAR 9, FK), client_user_id (CHAR 9, FK), simulation_charge, commission_rate, commission_amount, status, stripe_transfer_id, created_at, paid_at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commission event. Immutable after creation — rate and amount are stored at time of charge. status: pending | paid | refunded.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partner_payouts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partner_id (CHAR 9, FK), payout_amount, commission_ids (JSON array of CHAR 9), stripe_payout_id, status, initiated_at, completed_at</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payout batch. commission_ids lists all commission records included in this payout. status: processing | completed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advisor_access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simulation_id (CHAR 9, FK), partner_id (CHAR 9, FK), granted_by (CHAR 9, FK), access_level ENUM('full_read'), granted_at, revoked_at, last_viewed_at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One record per advisor-simulation pairing. revoked_at NULL until client revokes. last_viewed_at updated on each advisor access.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advisor_notes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 (CHAR 9, PK), advisor_access_id (CHAR 9, FK), simulation_id (CHAR 9, FK), layer_number (1–5, NULL for general), note_text (TEXT), created_at, updated_at</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Coaching notes added by advisor per layer or at Simulation level. Visible to advisor and client only. Not editable by client.</w:t>
            </w:r>
          </w:p>
        </w:tc>
      </w:tr>
    </w:tbl>
    <w:p>
      <w:pPr>
        <w:spacing w:after="160"/>
      </w:pPr>
      <w:r>
        <w:t xml:space="preserve"/>
      </w:r>
    </w:p>
    <w:p>
      <w:pPr>
        <w:pStyle w:val="Heading2"/>
      </w:pPr>
      <w:r>
        <w:t xml:space="preserve">15.7 Platform Settings —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Value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partner_commission_rate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0.20</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Global default commission rate as a decimal (0.20 = 20%). Applied automatically to a partner's commission_rate field at the time of approval. Changing this setting does not update any existing partner's individual rate — it only affects partners approved after the change. Each partner's live rate is stored on their referral_partners.commission_rate field and is set individually by the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payout_schedule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monthly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Cadence of automated partner payouts. Values: weekly | bi-weekly | monthly. Celery beat schedule reads this value on each run.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partner_program_enabled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true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Master on/off toggle for the entire Referral Partner Program. When false, referral links return a 404, no new applications are accepted, and commission calculation is suspended. Existing payouts are not affected.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min_payout_threshold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25.00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Minimum accumulated commission balance (USD) required before a partner payout is initiated. Partners below this threshold carry their balance to the next cycle.</w:t>
            </w:r>
          </w:p>
        </w:tc>
      </w:tr>
    </w:tbl>
    <w:p>
      <w:pPr>
        <w:spacing w:after="160"/>
      </w:pPr>
      <w:r>
        <w:t xml:space="preserve"/>
      </w:r>
    </w:p>
    <w:p>
      <w:pPr>
        <w:pStyle w:val="Heading2"/>
      </w:pPr>
      <w:r>
        <w:t xml:space="preserve">15.8 API Endpoints — Referral Partner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/api/partners/apply</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Submit Referral Partner application</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/api/partners/invite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Send a referral invitation email to a client — name, email, optional personal message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/api/partners/invitations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all sent invitations with status (sent / opened / converted / expired)</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Partner dashboard summary — earnings, client count, payout status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/api/partners/clients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referred clients with name, email, sim count, commission earned</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/api/partners/commissions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Paginated commission ledger for the authenticated partner</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/api/partners/payouts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Payout history with expandable commission line items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/api/partners/advisor-clients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List clients who have granted advisor view access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/api/partners/advisor-clients/:sim_id</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Open a client Simulation in full read-only advisor view</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/api/partners/advisor-clients/:sim_id/notes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Add a coaching note to a layer or the Simulation overall</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/api/partners/advisor-clients/:sim_id/notes/:id</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Update an existing coaching note</w:t>
            </w:r>
          </w:p>
        </w:tc>
      </w:tr>
      <w:tr>
        <w:tc>
          <w:tcPr>
            <w:tcW w:type="dxa" w:w="1000"/>
            <w:tcBorders>
              <w:top w:val="single" w:color="CCCCCC" w:sz="1"/>
              <w:left w:val="single" w:color="CCCCCC" w:sz="1"/>
              <w:bottom w:val="single" w:color="CCCCCC" w:sz="1"/>
              <w:right w:val="single" w:color="CCCCCC" w:sz="1"/>
            </w:tcBorders>
            <w:shd w:fill="F5D6D6" w:val="clear"/>
            <w:tcMar>
              <w:top w:type="dxa" w:w="80"/>
              <w:left w:type="dxa" w:w="120"/>
              <w:bottom w:type="dxa" w:w="80"/>
              <w:right w:type="dxa" w:w="120"/>
            </w:tcMar>
            <w:vAlign w:val="top"/>
          </w:tcPr>
          <w:p>
            <w:r>
              <w:rPr>
                <w:rFonts w:ascii="Arial" w:cs="Arial" w:eastAsia="Arial" w:hAnsi="Arial"/>
                <w:b/>
                <w:bCs/>
                <w:color w:val="444444"/>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/api/partners/advisor-clients/:sim_id/notes/:id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Delete a coaching note</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/api/simulations/:id/advisor-access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Client grants advisor view access (enters advisor email)</w:t>
            </w:r>
          </w:p>
        </w:tc>
      </w:tr>
      <w:tr>
        <w:tc>
          <w:tcPr>
            <w:tcW w:type="dxa" w:w="1000"/>
            <w:tcBorders>
              <w:top w:val="single" w:color="CCCCCC" w:sz="1"/>
              <w:left w:val="single" w:color="CCCCCC" w:sz="1"/>
              <w:bottom w:val="single" w:color="CCCCCC" w:sz="1"/>
              <w:right w:val="single" w:color="CCCCCC" w:sz="1"/>
            </w:tcBorders>
            <w:shd w:fill="F5D6D6" w:val="clear"/>
            <w:tcMar>
              <w:top w:type="dxa" w:w="80"/>
              <w:left w:type="dxa" w:w="120"/>
              <w:bottom w:type="dxa" w:w="80"/>
              <w:right w:type="dxa" w:w="120"/>
            </w:tcMar>
            <w:vAlign w:val="top"/>
          </w:tcPr>
          <w:p>
            <w:r>
              <w:rPr>
                <w:rFonts w:ascii="Arial" w:cs="Arial" w:eastAsia="Arial" w:hAnsi="Arial"/>
                <w:b/>
                <w:bCs/>
                <w:color w:val="444444"/>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/api/simulations/:id/advisor-access/:partner_id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Client revokes advisor access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list all partners with status, individual commission rate, earnings, client count</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/api/admin/partners/:id/status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approve, suspend, or deactivate a partner</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444444"/>
                <w:sz w:val="20"/>
                <w:szCs w:val="20"/>
              </w:rPr>
              <w:t xml:space="preserve">PUT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/api/admin/partners/:id/commission-rate</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set or update an individual partner's commission rate (decimal, e.g. 0.25). Takes effect on all future commission events for this partner. Does not affect already-logged commissions.</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/api/admin/partners/:id/commissions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view full commission ledger for a specific partner</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/api/admin/payouts/run</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manually trigger a payout cycle</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/api/admin/payouts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full payout history across all partners</w:t>
            </w:r>
          </w:p>
        </w:tc>
      </w:tr>
    </w:tbl>
    <w:p>
      <w:pPr>
        <w:spacing w:after="160"/>
      </w:pPr>
      <w:r>
        <w:t xml:space="preserve"/>
      </w:r>
    </w:p>
    <w:p>
      <w:pPr>
        <w:pStyle w:val="Heading2"/>
      </w:pPr>
      <w:r>
        <w:t xml:space="preserve">15.9 Functional Requirements</w:t>
      </w:r>
    </w:p>
    <w:p>
      <w:pPr>
        <w:spacing w:after="100"/>
      </w:pPr>
      <w:r>
        <w:rPr>
          <w:rFonts w:ascii="Arial" w:cs="Arial" w:eastAsia="Arial" w:hAnsi="Arial"/>
          <w:b/>
          <w:bCs/>
          <w:color w:val="1B3A6B"/>
          <w:sz w:val="22"/>
          <w:szCs w:val="22"/>
        </w:rPr>
        <w:t xml:space="preserve">FR-PAR-01: </w:t>
      </w:r>
      <w:r>
        <w:rPr>
          <w:rFonts w:ascii="Arial" w:cs="Arial" w:eastAsia="Arial" w:hAnsi="Arial"/>
          <w:color w:val="444444"/>
          <w:sz w:val="22"/>
          <w:szCs w:val="22"/>
        </w:rPr>
        <w:t xml:space="preserve">Admin can enable or disable the entire Referral Partner Program via the partner_program_enabled platform setting without redeployment.</w:t>
      </w:r>
    </w:p>
    <w:p>
      <w:pPr>
        <w:spacing w:after="100"/>
      </w:pPr>
      <w:r>
        <w:rPr>
          <w:rFonts w:ascii="Arial" w:cs="Arial" w:eastAsia="Arial" w:hAnsi="Arial"/>
          <w:b/>
          <w:bCs/>
          <w:color w:val="1B3A6B"/>
          <w:sz w:val="22"/>
          <w:szCs w:val="22"/>
        </w:rPr>
        <w:t xml:space="preserve">FR-PAR-02: </w:t>
      </w:r>
      <w:r>
        <w:rPr>
          <w:rFonts w:ascii="Arial" w:cs="Arial" w:eastAsia="Arial" w:hAnsi="Arial"/>
          <w:color w:val="444444"/>
          <w:sz w:val="22"/>
          <w:szCs w:val="22"/>
        </w:rPr>
        <w:t xml:space="preserve">Admin can set and update the global default commission rate (partner_commission_rate in platform_settings) and payout schedule (payout_schedule) at any time. The global default is applied automatically to newly approved partners only — it does not retroactively update any existing partner's individual rate.</w:t>
      </w:r>
    </w:p>
    <w:p>
      <w:pPr>
        <w:spacing w:after="100"/>
      </w:pPr>
      <w:r>
        <w:rPr>
          <w:rFonts w:ascii="Arial" w:cs="Arial" w:eastAsia="Arial" w:hAnsi="Arial"/>
          <w:b/>
          <w:bCs/>
          <w:color w:val="1B3A6B"/>
          <w:sz w:val="22"/>
          <w:szCs w:val="22"/>
        </w:rPr>
        <w:t xml:space="preserve">FR-PAR-03: </w:t>
      </w:r>
      <w:r>
        <w:rPr>
          <w:rFonts w:ascii="Arial" w:cs="Arial" w:eastAsia="Arial" w:hAnsi="Arial"/>
          <w:color w:val="444444"/>
          <w:sz w:val="22"/>
          <w:szCs w:val="22"/>
        </w:rPr>
        <w:t xml:space="preserve">Admin can approve, suspend, or deactivate any partner from the Admin Panel. Suspension immediately pauses commission accrual for that partner. Existing pending commissions are held, not forfeited.</w:t>
      </w:r>
    </w:p>
    <w:p>
      <w:pPr>
        <w:spacing w:after="100"/>
      </w:pPr>
      <w:r>
        <w:rPr>
          <w:rFonts w:ascii="Arial" w:cs="Arial" w:eastAsia="Arial" w:hAnsi="Arial"/>
          <w:b/>
          <w:bCs/>
          <w:color w:val="1B3A6B"/>
          <w:sz w:val="22"/>
          <w:szCs w:val="22"/>
        </w:rPr>
        <w:t xml:space="preserve">FR-PAR-04: </w:t>
      </w:r>
      <w:r>
        <w:rPr>
          <w:rFonts w:ascii="Arial" w:cs="Arial" w:eastAsia="Arial" w:hAnsi="Arial"/>
          <w:color w:val="444444"/>
          <w:sz w:val="22"/>
          <w:szCs w:val="22"/>
        </w:rPr>
        <w:t xml:space="preserve">Each partner's referral link is unique, permanent, and tied to their referral_code. The code cannot be changed after approval.</w:t>
      </w:r>
    </w:p>
    <w:p>
      <w:pPr>
        <w:spacing w:after="100"/>
      </w:pPr>
      <w:r>
        <w:rPr>
          <w:rFonts w:ascii="Arial" w:cs="Arial" w:eastAsia="Arial" w:hAnsi="Arial"/>
          <w:b/>
          <w:bCs/>
          <w:color w:val="1B3A6B"/>
          <w:sz w:val="22"/>
          <w:szCs w:val="22"/>
        </w:rPr>
        <w:t xml:space="preserve">FR-PAR-05: </w:t>
      </w:r>
      <w:r>
        <w:rPr>
          <w:rFonts w:ascii="Arial" w:cs="Arial" w:eastAsia="Arial" w:hAnsi="Arial"/>
          <w:color w:val="444444"/>
          <w:sz w:val="22"/>
          <w:szCs w:val="22"/>
        </w:rPr>
        <w:t xml:space="preserve">Attribution persists for 30 days from first referral link click via a server-side session cookie. If the user registers and generates a Simulation within this window, the referring partner is credited.</w:t>
      </w:r>
    </w:p>
    <w:p>
      <w:pPr>
        <w:spacing w:after="100"/>
      </w:pPr>
      <w:r>
        <w:rPr>
          <w:rFonts w:ascii="Arial" w:cs="Arial" w:eastAsia="Arial" w:hAnsi="Arial"/>
          <w:b/>
          <w:bCs/>
          <w:color w:val="1B3A6B"/>
          <w:sz w:val="22"/>
          <w:szCs w:val="22"/>
        </w:rPr>
        <w:t xml:space="preserve">FR-PAR-06: </w:t>
      </w:r>
      <w:r>
        <w:rPr>
          <w:rFonts w:ascii="Arial" w:cs="Arial" w:eastAsia="Arial" w:hAnsi="Arial"/>
          <w:color w:val="444444"/>
          <w:sz w:val="22"/>
          <w:szCs w:val="22"/>
        </w:rPr>
        <w:t xml:space="preserve">Commission is calculated at the moment of Stripe payment confirmation using the simulation_price and this partner's individual commission_rate (stored on referral_partners) at that instant. Both values are stored immutably on the commission record. Different partners may have different commission rates and will earn different commission amounts on the same Simulation price.</w:t>
      </w:r>
    </w:p>
    <w:p>
      <w:pPr>
        <w:spacing w:after="100"/>
      </w:pPr>
      <w:r>
        <w:rPr>
          <w:rFonts w:ascii="Arial" w:cs="Arial" w:eastAsia="Arial" w:hAnsi="Arial"/>
          <w:b/>
          <w:bCs/>
          <w:color w:val="1B3A6B"/>
          <w:sz w:val="22"/>
          <w:szCs w:val="22"/>
        </w:rPr>
        <w:t xml:space="preserve">FR-PAR-07-RATE: </w:t>
      </w:r>
      <w:r>
        <w:rPr>
          <w:rFonts w:ascii="Arial" w:cs="Arial" w:eastAsia="Arial" w:hAnsi="Arial"/>
          <w:color w:val="444444"/>
          <w:sz w:val="22"/>
          <w:szCs w:val="22"/>
        </w:rPr>
        <w:t xml:space="preserve">Admin can set or update any individual partner's commission rate at any time via the Admin Panel or via PUT /api/admin/partners/:id/commission-rate. The new rate takes effect immediately on all future commission events for that partner. Commission records already logged under a prior rate are not affected.</w:t>
      </w:r>
    </w:p>
    <w:p>
      <w:pPr>
        <w:spacing w:after="100"/>
      </w:pPr>
      <w:r>
        <w:rPr>
          <w:rFonts w:ascii="Arial" w:cs="Arial" w:eastAsia="Arial" w:hAnsi="Arial"/>
          <w:b/>
          <w:bCs/>
          <w:color w:val="1B3A6B"/>
          <w:sz w:val="22"/>
          <w:szCs w:val="22"/>
        </w:rPr>
        <w:t xml:space="preserve">FR-PAR-08-RATE: </w:t>
      </w:r>
      <w:r>
        <w:rPr>
          <w:rFonts w:ascii="Arial" w:cs="Arial" w:eastAsia="Arial" w:hAnsi="Arial"/>
          <w:color w:val="444444"/>
          <w:sz w:val="22"/>
          <w:szCs w:val="22"/>
        </w:rPr>
        <w:t xml:space="preserve">The Admin Panel partner roster displays each partner's individual commission rate alongside their earnings, client count, and status. The admin can edit any partner's rate inline from the roster view without navigating to a separate partner detail page.</w:t>
      </w:r>
    </w:p>
    <w:p>
      <w:pPr>
        <w:spacing w:after="100"/>
      </w:pPr>
      <w:r>
        <w:rPr>
          <w:rFonts w:ascii="Arial" w:cs="Arial" w:eastAsia="Arial" w:hAnsi="Arial"/>
          <w:b/>
          <w:bCs/>
          <w:color w:val="1B3A6B"/>
          <w:sz w:val="22"/>
          <w:szCs w:val="22"/>
        </w:rPr>
        <w:t xml:space="preserve">FR-PAR-07: </w:t>
      </w:r>
      <w:r>
        <w:rPr>
          <w:rFonts w:ascii="Arial" w:cs="Arial" w:eastAsia="Arial" w:hAnsi="Arial"/>
          <w:color w:val="444444"/>
          <w:sz w:val="22"/>
          <w:szCs w:val="22"/>
        </w:rPr>
        <w:t xml:space="preserve">If a Simulation is refunded, the associated commission record is marked 'refunded' and excluded from future payouts. If already paid out, the amount is deducted from the partner's next payout cycle.</w:t>
      </w:r>
    </w:p>
    <w:p>
      <w:pPr>
        <w:spacing w:after="100"/>
      </w:pPr>
      <w:r>
        <w:rPr>
          <w:rFonts w:ascii="Arial" w:cs="Arial" w:eastAsia="Arial" w:hAnsi="Arial"/>
          <w:b/>
          <w:bCs/>
          <w:color w:val="1B3A6B"/>
          <w:sz w:val="22"/>
          <w:szCs w:val="22"/>
        </w:rPr>
        <w:t xml:space="preserve">FR-PAR-08: </w:t>
      </w:r>
      <w:r>
        <w:rPr>
          <w:rFonts w:ascii="Arial" w:cs="Arial" w:eastAsia="Arial" w:hAnsi="Arial"/>
          <w:color w:val="444444"/>
          <w:sz w:val="22"/>
          <w:szCs w:val="22"/>
        </w:rPr>
        <w:t xml:space="preserve">Payouts are only disbursed to partners with a completed Stripe Connect onboarding and an accumulated balance meeting or exceeding the min_payout_threshold.</w:t>
      </w:r>
    </w:p>
    <w:p>
      <w:pPr>
        <w:spacing w:after="100"/>
      </w:pPr>
      <w:r>
        <w:rPr>
          <w:rFonts w:ascii="Arial" w:cs="Arial" w:eastAsia="Arial" w:hAnsi="Arial"/>
          <w:b/>
          <w:bCs/>
          <w:color w:val="1B3A6B"/>
          <w:sz w:val="22"/>
          <w:szCs w:val="22"/>
        </w:rPr>
        <w:t xml:space="preserve">FR-PAR-09: </w:t>
      </w:r>
      <w:r>
        <w:rPr>
          <w:rFonts w:ascii="Arial" w:cs="Arial" w:eastAsia="Arial" w:hAnsi="Arial"/>
          <w:color w:val="444444"/>
          <w:sz w:val="22"/>
          <w:szCs w:val="22"/>
        </w:rPr>
        <w:t xml:space="preserve">The Partner Dashboard client roster displays referred client full name, email address, signup date, number of Simulations generated, total commission earned from that client, and last activity date.</w:t>
      </w:r>
    </w:p>
    <w:p>
      <w:pPr>
        <w:spacing w:after="100"/>
      </w:pPr>
      <w:r>
        <w:rPr>
          <w:rFonts w:ascii="Arial" w:cs="Arial" w:eastAsia="Arial" w:hAnsi="Arial"/>
          <w:b/>
          <w:bCs/>
          <w:color w:val="1B3A6B"/>
          <w:sz w:val="22"/>
          <w:szCs w:val="22"/>
        </w:rPr>
        <w:t xml:space="preserve">FR-PAR-10: </w:t>
      </w:r>
      <w:r>
        <w:rPr>
          <w:rFonts w:ascii="Arial" w:cs="Arial" w:eastAsia="Arial" w:hAnsi="Arial"/>
          <w:color w:val="444444"/>
          <w:sz w:val="22"/>
          <w:szCs w:val="22"/>
        </w:rPr>
        <w:t xml:space="preserve">Advisor view access is granted exclusively by the client. The advisor cannot request access — only receive it. The client can revoke access at any time, immediately and without notification delay.</w:t>
      </w:r>
    </w:p>
    <w:p>
      <w:pPr>
        <w:spacing w:after="100"/>
      </w:pPr>
      <w:r>
        <w:rPr>
          <w:rFonts w:ascii="Arial" w:cs="Arial" w:eastAsia="Arial" w:hAnsi="Arial"/>
          <w:b/>
          <w:bCs/>
          <w:color w:val="1B3A6B"/>
          <w:sz w:val="22"/>
          <w:szCs w:val="22"/>
        </w:rPr>
        <w:t xml:space="preserve">FR-PAR-11: </w:t>
      </w:r>
      <w:r>
        <w:rPr>
          <w:rFonts w:ascii="Arial" w:cs="Arial" w:eastAsia="Arial" w:hAnsi="Arial"/>
          <w:color w:val="444444"/>
          <w:sz w:val="22"/>
          <w:szCs w:val="22"/>
        </w:rPr>
        <w:t xml:space="preserve">In advisor read-only view, the advisor sees all 5 layers fully expanded, all income streams with AI reasoning, and all agent action result panels and artifacts. No edit, regenerate, export, or reshare controls are visible.</w:t>
      </w:r>
    </w:p>
    <w:p>
      <w:pPr>
        <w:spacing w:after="100"/>
      </w:pPr>
      <w:r>
        <w:rPr>
          <w:rFonts w:ascii="Arial" w:cs="Arial" w:eastAsia="Arial" w:hAnsi="Arial"/>
          <w:b/>
          <w:bCs/>
          <w:color w:val="1B3A6B"/>
          <w:sz w:val="22"/>
          <w:szCs w:val="22"/>
        </w:rPr>
        <w:t xml:space="preserve">FR-PAR-12: </w:t>
      </w:r>
      <w:r>
        <w:rPr>
          <w:rFonts w:ascii="Arial" w:cs="Arial" w:eastAsia="Arial" w:hAnsi="Arial"/>
          <w:color w:val="444444"/>
          <w:sz w:val="22"/>
          <w:szCs w:val="22"/>
        </w:rPr>
        <w:t xml:space="preserve">Coaching notes added by the advisor are visible to both the advisor and the client in the Simulation view. Notes are not visible to other collaborators or the platform admin.</w:t>
      </w:r>
    </w:p>
    <w:p>
      <w:pPr>
        <w:spacing w:after="100"/>
      </w:pPr>
      <w:r>
        <w:rPr>
          <w:rFonts w:ascii="Arial" w:cs="Arial" w:eastAsia="Arial" w:hAnsi="Arial"/>
          <w:b/>
          <w:bCs/>
          <w:color w:val="1B3A6B"/>
          <w:sz w:val="22"/>
          <w:szCs w:val="22"/>
        </w:rPr>
        <w:t xml:space="preserve">FR-PAR-13: </w:t>
      </w:r>
      <w:r>
        <w:rPr>
          <w:rFonts w:ascii="Arial" w:cs="Arial" w:eastAsia="Arial" w:hAnsi="Arial"/>
          <w:color w:val="444444"/>
          <w:sz w:val="22"/>
          <w:szCs w:val="22"/>
        </w:rPr>
        <w:t xml:space="preserve">The client's Simulation view shows a 'Shared with Advisor' indicator when advisor access is active, displaying the advisor's name and the date access was granted.</w:t>
      </w:r>
    </w:p>
    <w:p>
      <w:pPr>
        <w:spacing w:after="100"/>
      </w:pPr>
      <w:r>
        <w:rPr>
          <w:rFonts w:ascii="Arial" w:cs="Arial" w:eastAsia="Arial" w:hAnsi="Arial"/>
          <w:b/>
          <w:bCs/>
          <w:color w:val="1B3A6B"/>
          <w:sz w:val="22"/>
          <w:szCs w:val="22"/>
        </w:rPr>
        <w:t xml:space="preserve">FR-PAR-14: </w:t>
      </w:r>
      <w:r>
        <w:rPr>
          <w:rFonts w:ascii="Arial" w:cs="Arial" w:eastAsia="Arial" w:hAnsi="Arial"/>
          <w:color w:val="444444"/>
          <w:sz w:val="22"/>
          <w:szCs w:val="22"/>
        </w:rPr>
        <w:t xml:space="preserve">A referred client who is also a Referral Partner may refer other clients. There is no restriction on a user holding both a standard account and a partner account. Commission is earned on all downstream referrals regardless.</w:t>
      </w:r>
    </w:p>
    <w:p>
      <w:pPr>
        <w:spacing w:after="100"/>
      </w:pPr>
      <w:r>
        <w:rPr>
          <w:rFonts w:ascii="Arial" w:cs="Arial" w:eastAsia="Arial" w:hAnsi="Arial"/>
          <w:b/>
          <w:bCs/>
          <w:color w:val="1B3A6B"/>
          <w:sz w:val="22"/>
          <w:szCs w:val="22"/>
        </w:rPr>
        <w:t xml:space="preserve">FR-PAR-15: </w:t>
      </w:r>
      <w:r>
        <w:rPr>
          <w:rFonts w:ascii="Arial" w:cs="Arial" w:eastAsia="Arial" w:hAnsi="Arial"/>
          <w:color w:val="444444"/>
          <w:sz w:val="22"/>
          <w:szCs w:val="22"/>
        </w:rPr>
        <w:t xml:space="preserve">A partner must be able to send a referral invitation email to a client directly from the Partner Dashboard Send Referral panel. The partner provides the client's first name, email address, and an optional personal message (up to 500 characters). The platform dispatches a branded invitation email from referrals@simulacrum.io with the partner's name in the sender display, the partner's unique referral link embedded, and a call-to-action to sign up. The invitation is logged in the referral_invitations table with status Sent. Open tracking is captured via a 1px tracking pixel. If the recipient signs up and generates a Simulation within the 30-day attribution window, the invitation status updates to Converted and commission accrues as normal. The partner can view the full invitation log — recipient name, email, date sent, status, and commission earned on conversion — from within the Send Referral panel.</w:t>
      </w:r>
    </w:p>
    <w:p>
      <w:pPr>
        <w:spacing w:after="120"/>
      </w:pPr>
      <w:r>
        <w:t xml:space="preserve"/>
      </w:r>
    </w:p>
    <w:p>
      <w:r>
        <w:br w:type="page"/>
      </w:r>
    </w:p>
    <w:p>
      <w:pPr>
        <w:pStyle w:val="Heading1"/>
      </w:pPr>
      <w:r>
        <w:t xml:space="preserve">16. Client-to-Partner Application</w:t>
      </w:r>
    </w:p>
    <w:p>
      <w:pPr>
        <w:spacing w:after="120"/>
      </w:pPr>
      <w:r>
        <w:rPr>
          <w:rFonts w:ascii="Arial" w:cs="Arial" w:eastAsia="Arial" w:hAnsi="Arial"/>
          <w:color w:val="444444"/>
          <w:sz w:val="22"/>
          <w:szCs w:val="22"/>
        </w:rPr>
        <w:t xml:space="preserve">An existing authenticated Simulacrum client may apply to become a Referral Partner directly from within their account — without leaving the platform or visiting the public partner application page. Because the client is already logged in, the platform pre-fills their application with known account data, reducing friction to a single intent decision. Upon approval, the client's user account is elevated to a dual-role account: they retain full access to their Simulations as a client and gain access to the Partner Dashboard as a partner.</w:t>
      </w:r>
    </w:p>
    <w:p>
      <w:pPr>
        <w:spacing w:after="120"/>
      </w:pPr>
      <w:r>
        <w:t xml:space="preserve"/>
      </w:r>
    </w:p>
    <w:p>
      <w:pPr>
        <w:pStyle w:val="Heading2"/>
      </w:pPr>
      <w:r>
        <w:t xml:space="preserve">16.1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Entry Point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persistent 'Become a Partner' prompt visible on the authenticated client's Dashboard. Displayed as a contextual banner below the Simulations panel and as a menu item in the account navigation.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Pre-fill Behavior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application form is pre-populated with the client's full name and email address from their user account. These fields are read-only — the client cannot submit an application under a different identity. Business name, partner type, website/LinkedIn URL, and practice description are user-supplied.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Account Linkage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 approval, the referral_partners record is created with a foreign key to the client's existing users.id. No new login credential is created. The client logs in once and is routed to either their Client Dashboard or Partner Dashboard based on their current navigation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Dual-Role Routing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After approval, the client's account navigation displays two distinct sections: 'My Simulations' (client view) and 'Partner Dashboard' (partner view). Switching between them does not require re-authentication.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Existing Simulations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client's pre-existing Simulations are not affected by partner status. They remain private and are not visible to the partner dashboard. A client-partner's own Simulations cannot be shared as advisor view with themselves.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Commission 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client who becomes a partner is immediately eligible to earn commissions on new referrals made after their approval date. Any Simulations they generated before becoming a partner do not generate retroactive commission.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Visibility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The 'Become a Partner' prompt is shown to all authenticated clients who are not already an approved or pending partner. Once an application is submitted, the prompt is replaced by an 'Application Pending' status indicator. Once approved, it is replaced by a 'Go to Partner Dashboard' shortcut.</w:t>
            </w:r>
          </w:p>
        </w:tc>
      </w:tr>
    </w:tbl>
    <w:p>
      <w:pPr>
        <w:spacing w:after="160"/>
      </w:pPr>
      <w:r>
        <w:t xml:space="preserve"/>
      </w:r>
    </w:p>
    <w:p>
      <w:pPr>
        <w:pStyle w:val="Heading2"/>
      </w:pPr>
      <w:r>
        <w:t xml:space="preserve">16.2 In-App Application Flow</w:t>
      </w:r>
    </w:p>
    <w:p>
      <w:pPr>
        <w:spacing w:after="120"/>
      </w:pPr>
      <w:r>
        <w:rPr>
          <w:rFonts w:ascii="Arial" w:cs="Arial" w:eastAsia="Arial" w:hAnsi="Arial"/>
          <w:color w:val="444444"/>
          <w:sz w:val="22"/>
          <w:szCs w:val="22"/>
        </w:rPr>
        <w:t xml:space="preserve">The client-to-partner application is a streamlined 3-screen flow within the authenticated client experience. It reuses the same underlying application data model as the public partner application but with pre-filled identity fields and a distinct UI entry 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1</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Entry prompt</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Client sees a 'Become a Partner' banner on their Dashboard reading: 'Refer your network and earn commissions on every Simulation they generate. Apply in under 2 minutes.' A primary CTA button reads 'Apply Now.' A secondary link reads 'Learn how it works' and opens a lightweight modal explaining the commission model, payout process, and advisor view access feature.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single-page form pre-filled with the client's name (read-only) and email (read-only). Client supplies: Partner Type (Life Coach / Financial Advisor / Career Coach / Business Coach / Other — required), Business Name (optional), Website or LinkedIn URL (optional), Description of Practice (free text, 300 chars max — brief explanation of how they will use Simulacrum with their clients), and checkbox agreement to the Partner Terms and Commission Agreement. A summary panel on the right side of the form shows the current global default commission rate and payout schedule pulled live from platform_settings, with a note that the admin may set a different rate for their account upon approval.</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Confirmation screen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 submission, the client sees a confirmation screen: 'Your application has been submitted. We will review it and notify you by email within 2 business days.' The client's Dashboard now shows an 'Application Pending' status badge in place of the 'Become a Partner' prompt. The referral_partners record is created with status 'pending' and the client's user_id linked.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Admin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sees the in-app application in the Admin Panel partner queue, visually distinguished from public applications with a 'Existing Client' badge showing the client's account creation date and number of Simulations generated. This context helps admin assess the quality of the applicant. One-click Approve or Decline. Decline triggers an optional decline reason email to the client.</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5</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Approval notification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On approval, the client receives an email: 'Welcome to the Simulacrum Partner Program.' The email contains their unique referral link, a link to the Partner Dashboard, and the Stripe Connect onboarding link. On next login, the client's navigation updates to show both 'My Simulations' and 'Partner Dashboard.' A one-time welcome modal appears explaining the dual-role account structure.</w:t>
            </w:r>
          </w:p>
        </w:tc>
      </w:tr>
    </w:tbl>
    <w:p>
      <w:pPr>
        <w:spacing w:after="160"/>
      </w:pPr>
      <w:r>
        <w:t xml:space="preserve"/>
      </w:r>
    </w:p>
    <w:p>
      <w:pPr>
        <w:pStyle w:val="Heading2"/>
      </w:pPr>
      <w:r>
        <w:t xml:space="preserve">16.3 UI Touchpoints — Client Dashboard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Client State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UI Element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Not yet applied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'Become a Partner' banner</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Displayed below Simulations panel. Dismissible once per session only — reappears on next login until applied. Also appears as a nav menu item under the account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 pending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 Pending' status badge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Replaces the 'Become a Partner' banner. Shows submission date and estimated review timeline (2 business days). Not dismissible. Disappears on approval or decline.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 declined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Decline notification banner</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Displays the decline reason if provided by admin. Offers a 'Reapply' link that reopens the application form pre-filled. The client may reapply once per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Approved — first 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Welcome modal (one-time)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Explains the dual-role account: 'You are now both a Simulacrum client and a Partner. Your Simulations are private to you. Your Partner Dashboard tracks your referrals and earnings.' Dismissed with 'Got it.'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Approved — ongoing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Dual navigation</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Account dropdown shows two sections: 'Client' (My Simulations, My Sources) and 'Partner' (Partner Dashboard, Send Referral, My Clients). Partner Dashboard link also appears as a persistent shortcut card on the Client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Approved — 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Partner Dashboard shortcut card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 card on the Client Dashboard showing: Pending Payout amount, Referred Clients count, and a 'Go to Partner Dashboard' button. Gives partners a quick earnings snapshot without switching views.</w:t>
            </w:r>
          </w:p>
        </w:tc>
      </w:tr>
    </w:tbl>
    <w:p>
      <w:pPr>
        <w:spacing w:after="160"/>
      </w:pPr>
      <w:r>
        <w:t xml:space="preserve"/>
      </w:r>
    </w:p>
    <w:p>
      <w:pPr>
        <w:pStyle w:val="Heading2"/>
      </w:pPr>
      <w:r>
        <w:t xml:space="preserve">16.4 Data Model Changes</w:t>
      </w:r>
    </w:p>
    <w:p>
      <w:pPr>
        <w:spacing w:after="120"/>
      </w:pPr>
      <w:r>
        <w:rPr>
          <w:rFonts w:ascii="Arial" w:cs="Arial" w:eastAsia="Arial" w:hAnsi="Arial"/>
          <w:color w:val="444444"/>
          <w:sz w:val="22"/>
          <w:szCs w:val="22"/>
        </w:rPr>
        <w:t xml:space="preserve">No new tables are required. The client-to-partner flow reuses the existing referral_partners table with two additions to distinguish in-app applications from public applications and support the reapplication limit.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application_source  ENUM('public','in_app')</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referral_partners</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Distinguishes applications submitted via the public /partners/apply page from those submitted from within an authenticated client account. Used for admin filtering and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simulations_at_apply  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referral_partners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Snapshot of the client's total Simulation count at the time of application. Stored for admin context during review. Not updated after application submission.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444444"/>
                <w:sz w:val="20"/>
                <w:szCs w:val="20"/>
              </w:rPr>
              <w:t xml:space="preserve">last_declined_at  DATETIME NULL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referral_partners</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Timestamp of most recent admin decline. Used to enforce the 30-day reapplication cooldown. NULL if never declined.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444444"/>
                <w:sz w:val="20"/>
                <w:szCs w:val="20"/>
              </w:rPr>
              <w:t xml:space="preserve">decline_reason  VARCHAR(500) 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referral_partners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Optional reason text entered by admin when declining an application. Included in the decline notification email to the client.</w:t>
            </w:r>
          </w:p>
        </w:tc>
      </w:tr>
    </w:tbl>
    <w:p>
      <w:pPr>
        <w:spacing w:after="160"/>
      </w:pPr>
      <w:r>
        <w:t xml:space="preserve"/>
      </w:r>
    </w:p>
    <w:p>
      <w:pPr>
        <w:pStyle w:val="Heading2"/>
      </w:pPr>
      <w:r>
        <w:t xml:space="preserve">16.5 API Endpoints — Client-to-Partner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/api/user/partner-status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Returns the client's current partner application state: none | pending | approved | declined. Used by the Dashboard to render the correct UI prompt.</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/api/user/partner-apply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Submit an in-app partner application. Auth required. Pre-fills name and email from session. Accepts partner_type, business_name, website_url, practice_description, terms_agreed. Creates referral_partners record with application_source='in_app'.</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/api/user/partner-apply/prefill</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Returns pre-filled application data for the authenticated client: full_name, email, simulations_count, account_created_at. Used to populate read-only fields on the application form.</w:t>
            </w:r>
          </w:p>
        </w:tc>
      </w:tr>
      <w:tr>
        <w:tc>
          <w:tcPr>
            <w:tcW w:type="dxa" w:w="1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vAlign w:val="top"/>
          </w:tcPr>
          <w:p>
            <w:r>
              <w:rPr>
                <w:rFonts w:ascii="Arial" w:cs="Arial" w:eastAsia="Arial" w:hAnsi="Arial"/>
                <w:b/>
                <w:bCs/>
                <w:color w:val="444444"/>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/api/admin/partners/:id/decline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declines a partner application with an optional decline_reason. Triggers decline notification email to the client.</w:t>
            </w:r>
          </w:p>
        </w:tc>
      </w:tr>
      <w:tr>
        <w:tc>
          <w:tcPr>
            <w:tcW w:type="dxa" w:w="1000"/>
            <w:tcBorders>
              <w:top w:val="single" w:color="CCCCCC" w:sz="1"/>
              <w:left w:val="single" w:color="CCCCCC" w:sz="1"/>
              <w:bottom w:val="single" w:color="CCCCCC" w:sz="1"/>
              <w:right w:val="single" w:color="CCCCCC" w:sz="1"/>
            </w:tcBorders>
            <w:shd w:fill="D6F5E4" w:val="clear"/>
            <w:tcMar>
              <w:top w:type="dxa" w:w="80"/>
              <w:left w:type="dxa" w:w="120"/>
              <w:bottom w:type="dxa" w:w="80"/>
              <w:right w:type="dxa" w:w="120"/>
            </w:tcMar>
            <w:vAlign w:val="top"/>
          </w:tcPr>
          <w:p>
            <w:r>
              <w:rPr>
                <w:rFonts w:ascii="Arial" w:cs="Arial" w:eastAsia="Arial" w:hAnsi="Arial"/>
                <w:b/>
                <w:bCs/>
                <w:color w:val="444444"/>
                <w:sz w:val="20"/>
                <w:szCs w:val="20"/>
              </w:rPr>
              <w:t xml:space="preserve">GET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/api/admin/partners?source=in_app</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Admin: filter partner application queue to show only in-app applications from existing clients.</w:t>
            </w:r>
          </w:p>
        </w:tc>
      </w:tr>
    </w:tbl>
    <w:p>
      <w:pPr>
        <w:spacing w:after="160"/>
      </w:pPr>
      <w:r>
        <w:t xml:space="preserve"/>
      </w:r>
    </w:p>
    <w:p>
      <w:pPr>
        <w:pStyle w:val="Heading2"/>
      </w:pPr>
      <w:r>
        <w:t xml:space="preserve">16.6 Functional Requirements</w:t>
      </w:r>
    </w:p>
    <w:p>
      <w:pPr>
        <w:spacing w:after="100"/>
      </w:pPr>
      <w:r>
        <w:rPr>
          <w:rFonts w:ascii="Arial" w:cs="Arial" w:eastAsia="Arial" w:hAnsi="Arial"/>
          <w:b/>
          <w:bCs/>
          <w:color w:val="1B3A6B"/>
          <w:sz w:val="22"/>
          <w:szCs w:val="22"/>
        </w:rPr>
        <w:t xml:space="preserve">FR-CTP-01: </w:t>
      </w:r>
      <w:r>
        <w:rPr>
          <w:rFonts w:ascii="Arial" w:cs="Arial" w:eastAsia="Arial" w:hAnsi="Arial"/>
          <w:color w:val="444444"/>
          <w:sz w:val="22"/>
          <w:szCs w:val="22"/>
        </w:rPr>
        <w:t xml:space="preserve">A 'Become a Partner' prompt is displayed on the authenticated client's Dashboard and account navigation dropdown to all clients who are not already an approved or pending partner. The prompt is dismissible once per session and reappears on subsequent logins until the client applies, is approved, or is declined.</w:t>
      </w:r>
    </w:p>
    <w:p>
      <w:pPr>
        <w:spacing w:after="100"/>
      </w:pPr>
      <w:r>
        <w:rPr>
          <w:rFonts w:ascii="Arial" w:cs="Arial" w:eastAsia="Arial" w:hAnsi="Arial"/>
          <w:b/>
          <w:bCs/>
          <w:color w:val="1B3A6B"/>
          <w:sz w:val="22"/>
          <w:szCs w:val="22"/>
        </w:rPr>
        <w:t xml:space="preserve">FR-CTP-02: </w:t>
      </w:r>
      <w:r>
        <w:rPr>
          <w:rFonts w:ascii="Arial" w:cs="Arial" w:eastAsia="Arial" w:hAnsi="Arial"/>
          <w:color w:val="444444"/>
          <w:sz w:val="22"/>
          <w:szCs w:val="22"/>
        </w:rPr>
        <w:t xml:space="preserve">The in-app partner application form is pre-populated with the client's full name and email address from their authenticated session. These fields are read-only and cannot be modified. The client cannot submit an application on behalf of a different identity.</w:t>
      </w:r>
    </w:p>
    <w:p>
      <w:pPr>
        <w:spacing w:after="100"/>
      </w:pPr>
      <w:r>
        <w:rPr>
          <w:rFonts w:ascii="Arial" w:cs="Arial" w:eastAsia="Arial" w:hAnsi="Arial"/>
          <w:b/>
          <w:bCs/>
          <w:color w:val="1B3A6B"/>
          <w:sz w:val="22"/>
          <w:szCs w:val="22"/>
        </w:rPr>
        <w:t xml:space="preserve">FR-CTP-03: </w:t>
      </w:r>
      <w:r>
        <w:rPr>
          <w:rFonts w:ascii="Arial" w:cs="Arial" w:eastAsia="Arial" w:hAnsi="Arial"/>
          <w:color w:val="444444"/>
          <w:sz w:val="22"/>
          <w:szCs w:val="22"/>
        </w:rPr>
        <w:t xml:space="preserve">The application form displays the current commission rate and payout schedule pulled live from platform_settings at the time the form is opened, so the client sees the exact terms they are agreeing to before submitting.</w:t>
      </w:r>
    </w:p>
    <w:p>
      <w:pPr>
        <w:spacing w:after="100"/>
      </w:pPr>
      <w:r>
        <w:rPr>
          <w:rFonts w:ascii="Arial" w:cs="Arial" w:eastAsia="Arial" w:hAnsi="Arial"/>
          <w:b/>
          <w:bCs/>
          <w:color w:val="1B3A6B"/>
          <w:sz w:val="22"/>
          <w:szCs w:val="22"/>
        </w:rPr>
        <w:t xml:space="preserve">FR-CTP-04: </w:t>
      </w:r>
      <w:r>
        <w:rPr>
          <w:rFonts w:ascii="Arial" w:cs="Arial" w:eastAsia="Arial" w:hAnsi="Arial"/>
          <w:color w:val="444444"/>
          <w:sz w:val="22"/>
          <w:szCs w:val="22"/>
        </w:rPr>
        <w:t xml:space="preserve">On submission, the referral_partners record is created with application_source set to 'in_app', the client's user_id linked as a foreign key, and simulations_at_apply populated with the client's Simulation count at submission time.</w:t>
      </w:r>
    </w:p>
    <w:p>
      <w:pPr>
        <w:spacing w:after="100"/>
      </w:pPr>
      <w:r>
        <w:rPr>
          <w:rFonts w:ascii="Arial" w:cs="Arial" w:eastAsia="Arial" w:hAnsi="Arial"/>
          <w:b/>
          <w:bCs/>
          <w:color w:val="1B3A6B"/>
          <w:sz w:val="22"/>
          <w:szCs w:val="22"/>
        </w:rPr>
        <w:t xml:space="preserve">FR-CTP-05: </w:t>
      </w:r>
      <w:r>
        <w:rPr>
          <w:rFonts w:ascii="Arial" w:cs="Arial" w:eastAsia="Arial" w:hAnsi="Arial"/>
          <w:color w:val="444444"/>
          <w:sz w:val="22"/>
          <w:szCs w:val="22"/>
        </w:rPr>
        <w:t xml:space="preserve">The Admin Panel partner queue displays a visible 'Existing Client' badge on in-app applications, showing the applicant's account creation date and Simulation count to assist admin in assessing application quality.</w:t>
      </w:r>
    </w:p>
    <w:p>
      <w:pPr>
        <w:spacing w:after="100"/>
      </w:pPr>
      <w:r>
        <w:rPr>
          <w:rFonts w:ascii="Arial" w:cs="Arial" w:eastAsia="Arial" w:hAnsi="Arial"/>
          <w:b/>
          <w:bCs/>
          <w:color w:val="1B3A6B"/>
          <w:sz w:val="22"/>
          <w:szCs w:val="22"/>
        </w:rPr>
        <w:t xml:space="preserve">FR-CTP-06: </w:t>
      </w:r>
      <w:r>
        <w:rPr>
          <w:rFonts w:ascii="Arial" w:cs="Arial" w:eastAsia="Arial" w:hAnsi="Arial"/>
          <w:color w:val="444444"/>
          <w:sz w:val="22"/>
          <w:szCs w:val="22"/>
        </w:rPr>
        <w:t xml:space="preserve">Admin can decline an application with an optional decline reason (up to 500 characters). The decline reason is included in the notification email sent to the client. The last_declined_at timestamp is recorded to enforce the reapplication cooldown.</w:t>
      </w:r>
    </w:p>
    <w:p>
      <w:pPr>
        <w:spacing w:after="100"/>
      </w:pPr>
      <w:r>
        <w:rPr>
          <w:rFonts w:ascii="Arial" w:cs="Arial" w:eastAsia="Arial" w:hAnsi="Arial"/>
          <w:b/>
          <w:bCs/>
          <w:color w:val="1B3A6B"/>
          <w:sz w:val="22"/>
          <w:szCs w:val="22"/>
        </w:rPr>
        <w:t xml:space="preserve">FR-CTP-07: </w:t>
      </w:r>
      <w:r>
        <w:rPr>
          <w:rFonts w:ascii="Arial" w:cs="Arial" w:eastAsia="Arial" w:hAnsi="Arial"/>
          <w:color w:val="444444"/>
          <w:sz w:val="22"/>
          <w:szCs w:val="22"/>
        </w:rPr>
        <w:t xml:space="preserve">A declined client may reapply after a 30-day cooldown from last_declined_at. Before the cooldown expires, the 'Reapply' link is disabled and displays the earliest eligible reapplication date. After the cooldown, the link re-enables and opens the pre-filled application form.</w:t>
      </w:r>
    </w:p>
    <w:p>
      <w:pPr>
        <w:spacing w:after="100"/>
      </w:pPr>
      <w:r>
        <w:rPr>
          <w:rFonts w:ascii="Arial" w:cs="Arial" w:eastAsia="Arial" w:hAnsi="Arial"/>
          <w:b/>
          <w:bCs/>
          <w:color w:val="1B3A6B"/>
          <w:sz w:val="22"/>
          <w:szCs w:val="22"/>
        </w:rPr>
        <w:t xml:space="preserve">FR-CTP-08: </w:t>
      </w:r>
      <w:r>
        <w:rPr>
          <w:rFonts w:ascii="Arial" w:cs="Arial" w:eastAsia="Arial" w:hAnsi="Arial"/>
          <w:color w:val="444444"/>
          <w:sz w:val="22"/>
          <w:szCs w:val="22"/>
        </w:rPr>
        <w:t xml:space="preserve">On approval, the client's existing user account is elevated to a dual-role account without creating new credentials. The client logs in once and accesses both the Client Dashboard and Partner Dashboard from a unified navigation structure.</w:t>
      </w:r>
    </w:p>
    <w:p>
      <w:pPr>
        <w:spacing w:after="100"/>
      </w:pPr>
      <w:r>
        <w:rPr>
          <w:rFonts w:ascii="Arial" w:cs="Arial" w:eastAsia="Arial" w:hAnsi="Arial"/>
          <w:b/>
          <w:bCs/>
          <w:color w:val="1B3A6B"/>
          <w:sz w:val="22"/>
          <w:szCs w:val="22"/>
        </w:rPr>
        <w:t xml:space="preserve">FR-CTP-09: </w:t>
      </w:r>
      <w:r>
        <w:rPr>
          <w:rFonts w:ascii="Arial" w:cs="Arial" w:eastAsia="Arial" w:hAnsi="Arial"/>
          <w:color w:val="444444"/>
          <w:sz w:val="22"/>
          <w:szCs w:val="22"/>
        </w:rPr>
        <w:t xml:space="preserve">A one-time welcome modal is displayed on the client's first post-approval login, explaining the dual-role account structure and the separation between their private Simulations and the Partner Dashboard. The modal is dismissed permanently after the client clicks 'Got it.'</w:t>
      </w:r>
    </w:p>
    <w:p>
      <w:pPr>
        <w:spacing w:after="100"/>
      </w:pPr>
      <w:r>
        <w:rPr>
          <w:rFonts w:ascii="Arial" w:cs="Arial" w:eastAsia="Arial" w:hAnsi="Arial"/>
          <w:b/>
          <w:bCs/>
          <w:color w:val="1B3A6B"/>
          <w:sz w:val="22"/>
          <w:szCs w:val="22"/>
        </w:rPr>
        <w:t xml:space="preserve">FR-CTP-10: </w:t>
      </w:r>
      <w:r>
        <w:rPr>
          <w:rFonts w:ascii="Arial" w:cs="Arial" w:eastAsia="Arial" w:hAnsi="Arial"/>
          <w:color w:val="444444"/>
          <w:sz w:val="22"/>
          <w:szCs w:val="22"/>
        </w:rPr>
        <w:t xml:space="preserve">A Partner Dashboard shortcut card is displayed on the Client Dashboard for approved partner-clients, showing Pending Payout amount, Referred Clients count, and a direct link to the Partner Dashboard. This card is always visible regardless of which view the client is currently in.</w:t>
      </w:r>
    </w:p>
    <w:p>
      <w:pPr>
        <w:spacing w:after="100"/>
      </w:pPr>
      <w:r>
        <w:rPr>
          <w:rFonts w:ascii="Arial" w:cs="Arial" w:eastAsia="Arial" w:hAnsi="Arial"/>
          <w:b/>
          <w:bCs/>
          <w:color w:val="1B3A6B"/>
          <w:sz w:val="22"/>
          <w:szCs w:val="22"/>
        </w:rPr>
        <w:t xml:space="preserve">FR-CTP-11: </w:t>
      </w:r>
      <w:r>
        <w:rPr>
          <w:rFonts w:ascii="Arial" w:cs="Arial" w:eastAsia="Arial" w:hAnsi="Arial"/>
          <w:color w:val="444444"/>
          <w:sz w:val="22"/>
          <w:szCs w:val="22"/>
        </w:rPr>
        <w:t xml:space="preserve">A client-partner's own Simulations remain private and are not accessible through the Partner Dashboard or advisor view access system. A client-partner cannot grant themselves advisor access to their own Simulation.</w:t>
      </w:r>
    </w:p>
    <w:p>
      <w:pPr>
        <w:spacing w:after="100"/>
      </w:pPr>
      <w:r>
        <w:rPr>
          <w:rFonts w:ascii="Arial" w:cs="Arial" w:eastAsia="Arial" w:hAnsi="Arial"/>
          <w:b/>
          <w:bCs/>
          <w:color w:val="1B3A6B"/>
          <w:sz w:val="22"/>
          <w:szCs w:val="22"/>
        </w:rPr>
        <w:t xml:space="preserve">FR-CTP-12: </w:t>
      </w:r>
      <w:r>
        <w:rPr>
          <w:rFonts w:ascii="Arial" w:cs="Arial" w:eastAsia="Arial" w:hAnsi="Arial"/>
          <w:color w:val="444444"/>
          <w:sz w:val="22"/>
          <w:szCs w:val="22"/>
        </w:rPr>
        <w:t xml:space="preserve">Commission eligibility begins at the moment of approval. Simulations generated by the client before their partner approval date do not generate retroactive commission. Only new referrals made and converted after the approval date are eligible.</w:t>
      </w:r>
    </w:p>
    <w:p>
      <w:pPr>
        <w:spacing w:after="120"/>
      </w:pPr>
      <w: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444444"/>
        <w:sz w:val="18"/>
        <w:szCs w:val="18"/>
      </w:rPr>
      <w:t xml:space="preserve">PrezentEnergy Ventures  |  April 2026</w:t>
    </w:r>
    <w:r>
      <w:rPr>
        <w:rFonts w:ascii="Arial" w:cs="Arial" w:eastAsia="Arial" w:hAnsi="Arial"/>
        <w:color w:val="444444"/>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tabs>
        <w:tab w:val="right" w:pos="9026"/>
      </w:tabs>
    </w:pPr>
    <w:r>
      <w:rPr>
        <w:rFonts w:ascii="Arial" w:cs="Arial" w:eastAsia="Arial" w:hAnsi="Arial"/>
        <w:color w:val="2E6DB4"/>
        <w:sz w:val="18"/>
        <w:szCs w:val="18"/>
      </w:rPr>
      <w:t xml:space="preserve">Simulacrum — AI Career Wealth Simulation Platform</w:t>
    </w:r>
    <w:r>
      <w:rPr>
        <w:rFonts w:ascii="Arial" w:cs="Arial" w:eastAsia="Arial" w:hAnsi="Arial"/>
        <w:color w:val="444444"/>
        <w:sz w:val="18"/>
        <w:szCs w:val="18"/>
      </w:rPr>
      <w:t xml:space="preserve">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B4" w:sz="6" w:space="1"/>
      </w:pBd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B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2026-04-18T02:26:01.228Z</dcterms:created>
  <dcterms:modified xsi:type="dcterms:W3CDTF">2026-04-18T02:26:01.229Z</dcterms:modified>
</cp:coreProperties>
</file>

<file path=docProps/custom.xml><?xml version="1.0" encoding="utf-8"?>
<Properties xmlns="http://schemas.openxmlformats.org/officeDocument/2006/custom-properties" xmlns:vt="http://schemas.openxmlformats.org/officeDocument/2006/docPropsVTypes"/>
</file>