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2933"/>
          <w:sz w:val="36"/>
        </w:rPr>
        <w:t>NANU TECH - Matriz módulo-dato del MVP</w:t>
      </w:r>
    </w:p>
    <w:p>
      <w:pPr>
        <w:spacing w:after="160"/>
      </w:pPr>
      <w:r>
        <w:rPr>
          <w:rFonts w:ascii="Arial" w:hAnsi="Arial"/>
          <w:color w:val="607080"/>
          <w:sz w:val="20"/>
        </w:rPr>
        <w:t>Relación entre módulos funcionales, tablas centrales y evidencia de datos para el informe técnico.</w:t>
      </w:r>
    </w:p>
    <w:p>
      <w:pPr>
        <w:spacing w:before="120" w:after="120"/>
      </w:pPr>
      <w:r>
        <w:rPr>
          <w:rFonts w:ascii="Arial" w:hAnsi="Arial"/>
          <w:color w:val="607080"/>
          <w:sz w:val="18"/>
        </w:rPr>
        <w:t>Uso recomendado: incluir esta matriz en la sección de diseño de datos, trazabilidad técnica o anexos del informe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4F7CA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3744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4F7CA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Tablas centrales</w:t>
            </w:r>
          </w:p>
        </w:tc>
        <w:tc>
          <w:tcPr>
            <w:tcW w:type="dxa" w:w="5472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4F7CA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Tipo de dato que demuestra</w:t>
            </w:r>
          </w:p>
        </w:tc>
      </w:tr>
      <w:tr>
        <w:tc>
          <w:tcPr>
            <w:tcW w:type="dxa" w:w="2088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</w:t>
            </w:r>
          </w:p>
        </w:tc>
        <w:tc>
          <w:tcPr>
            <w:tcW w:type="dxa" w:w="3744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usuarios; sesiones_usuario; password_reset_tokens</w:t>
            </w:r>
          </w:p>
        </w:tc>
        <w:tc>
          <w:tcPr>
            <w:tcW w:type="dxa" w:w="5472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Identidad, rol, sesión y recuperación de cuenta.</w:t>
            </w:r>
          </w:p>
        </w:tc>
      </w:tr>
      <w:tr>
        <w:tc>
          <w:tcPr>
            <w:tcW w:type="dxa" w:w="2088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Auditoría</w:t>
            </w:r>
          </w:p>
        </w:tc>
        <w:tc>
          <w:tcPr>
            <w:tcW w:type="dxa" w:w="3744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auditoria_accesos; login_intentos</w:t>
            </w:r>
          </w:p>
        </w:tc>
        <w:tc>
          <w:tcPr>
            <w:tcW w:type="dxa" w:w="5472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Trazabilidad de accesos, intentos y eventos de autenticación.</w:t>
            </w:r>
          </w:p>
        </w:tc>
      </w:tr>
      <w:tr>
        <w:tc>
          <w:tcPr>
            <w:tcW w:type="dxa" w:w="2088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Dashboard admin</w:t>
            </w:r>
          </w:p>
        </w:tc>
        <w:tc>
          <w:tcPr>
            <w:tcW w:type="dxa" w:w="3744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unidades; jornadas; alertas_jornada; contratos</w:t>
            </w:r>
          </w:p>
        </w:tc>
        <w:tc>
          <w:tcPr>
            <w:tcW w:type="dxa" w:w="5472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Resumen operativo para control administrativo del MVP.</w:t>
            </w:r>
          </w:p>
        </w:tc>
      </w:tr>
      <w:tr>
        <w:tc>
          <w:tcPr>
            <w:tcW w:type="dxa" w:w="2088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Camiones</w:t>
            </w:r>
          </w:p>
        </w:tc>
        <w:tc>
          <w:tcPr>
            <w:tcW w:type="dxa" w:w="3744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unidades; camiones</w:t>
            </w:r>
          </w:p>
        </w:tc>
        <w:tc>
          <w:tcPr>
            <w:tcW w:type="dxa" w:w="5472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Flota básica, estado operativo y datos mínimos de unidad/camión.</w:t>
            </w:r>
          </w:p>
        </w:tc>
      </w:tr>
      <w:tr>
        <w:tc>
          <w:tcPr>
            <w:tcW w:type="dxa" w:w="2088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Conductores</w:t>
            </w:r>
          </w:p>
        </w:tc>
        <w:tc>
          <w:tcPr>
            <w:tcW w:type="dxa" w:w="3744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usuarios; conductores; licencias_conducir</w:t>
            </w:r>
          </w:p>
        </w:tc>
        <w:tc>
          <w:tcPr>
            <w:tcW w:type="dxa" w:w="5472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Perfil básico del chofer, licencia y consulta operativa.</w:t>
            </w:r>
          </w:p>
        </w:tc>
      </w:tr>
      <w:tr>
        <w:tc>
          <w:tcPr>
            <w:tcW w:type="dxa" w:w="2088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Contratos</w:t>
            </w:r>
          </w:p>
        </w:tc>
        <w:tc>
          <w:tcPr>
            <w:tcW w:type="dxa" w:w="3744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contratos; contrato_rutas; contrato_tarifas; contrato_unidades</w:t>
            </w:r>
          </w:p>
        </w:tc>
        <w:tc>
          <w:tcPr>
            <w:tcW w:type="dxa" w:w="5472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Servicio contratado, rutas, tarifas y unidades asignadas.</w:t>
            </w:r>
          </w:p>
        </w:tc>
      </w:tr>
      <w:tr>
        <w:tc>
          <w:tcPr>
            <w:tcW w:type="dxa" w:w="2088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Jornadas</w:t>
            </w:r>
          </w:p>
        </w:tc>
        <w:tc>
          <w:tcPr>
            <w:tcW w:type="dxa" w:w="3744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jornadas</w:t>
            </w:r>
          </w:p>
        </w:tc>
        <w:tc>
          <w:tcPr>
            <w:tcW w:type="dxa" w:w="5472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Operación diaria de flota: registro, inicio, finalización y observaciones.</w:t>
            </w:r>
          </w:p>
        </w:tc>
      </w:tr>
      <w:tr>
        <w:tc>
          <w:tcPr>
            <w:tcW w:type="dxa" w:w="2088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Alertas</w:t>
            </w:r>
          </w:p>
        </w:tc>
        <w:tc>
          <w:tcPr>
            <w:tcW w:type="dxa" w:w="3744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alertas_jornada; alertas_historial</w:t>
            </w:r>
          </w:p>
        </w:tc>
        <w:tc>
          <w:tcPr>
            <w:tcW w:type="dxa" w:w="5472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Emergencias, auxilios, atención, resolución e historial de cambios.</w:t>
            </w:r>
          </w:p>
        </w:tc>
      </w:tr>
      <w:tr>
        <w:tc>
          <w:tcPr>
            <w:tcW w:type="dxa" w:w="2088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App móvil</w:t>
            </w:r>
          </w:p>
        </w:tc>
        <w:tc>
          <w:tcPr>
            <w:tcW w:type="dxa" w:w="3744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SQLite local + jornadas + alertas_jornada</w:t>
            </w:r>
          </w:p>
        </w:tc>
        <w:tc>
          <w:tcPr>
            <w:tcW w:type="dxa" w:w="5472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Operación en campo, cache, cola offline y sincronización posterior.</w:t>
            </w:r>
          </w:p>
        </w:tc>
      </w:tr>
    </w:tbl>
    <w:p>
      <w:pPr>
        <w:spacing w:before="120" w:after="120"/>
      </w:pPr>
      <w:r>
        <w:rPr>
          <w:rFonts w:ascii="Arial" w:hAnsi="Arial"/>
          <w:color w:val="607080"/>
          <w:sz w:val="18"/>
        </w:rPr>
        <w:t>Fuente base: DISI_TRAZABILIDAD_MVP.md. La matriz fue ordenada para uso académico como anexo técnico del MVP.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