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re"/>
      </w:pPr>
      <w:r>
        <w:t xml:space="preserve">Synthèse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démarche</w:t>
      </w:r>
      <w:r>
        <w:t xml:space="preserve"> </w:t>
      </w:r>
      <w:r>
        <w:t xml:space="preserve">A3</w:t>
      </w:r>
    </w:p>
    <w:p>
      <w:pPr>
        <w:pStyle w:val="FirstParagraph"/>
      </w:pPr>
      <w:r>
        <w:t xml:space="preserve">Le A3 est une méthode de résolution de problèmes pratiquée par Toyota, qui décrit sur une seule feuille une problématique, du contexte jusqu’aux enseignements.</w:t>
      </w:r>
    </w:p>
    <w:bookmarkStart w:id="20" w:name="principe-et-esprit-de-la-méthode"/>
    <w:p>
      <w:pPr>
        <w:pStyle w:val="Titre2"/>
      </w:pPr>
      <w:r>
        <w:t xml:space="preserve">Principe et esprit de la méthode</w:t>
      </w:r>
    </w:p>
    <w:p>
      <w:pPr>
        <w:pStyle w:val="FirstParagraph"/>
      </w:pPr>
      <w:r>
        <w:t xml:space="preserve">Le nom « A3 » vient du format international de papier (297 × 420 mm) sur lequel la démarche tient. Cette contrainte oblige à aller à l’essentiel : un seul support, lisible d’un coup d’œil, qui sert à la fois à penser, à dialoguer et à rendre compte.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Principe de base :</w:t>
      </w:r>
      <w:r>
        <w:t xml:space="preserve"> </w:t>
      </w:r>
      <w:r>
        <w:t xml:space="preserve">suivre une logique PDCA et la rendre visible sur une feuille unique, de gauche à droite : comprendre (gauche), puis agir et vérifier (droite).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Un outil de dialogue :</w:t>
      </w:r>
      <w:r>
        <w:t xml:space="preserve"> </w:t>
      </w:r>
      <w:r>
        <w:t xml:space="preserve">le A3 se construit sur le terrain, avec les équipes, et se présente à son manager ou à un coach, qui questionne plus qu’il ne corrige.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Bons sujets :</w:t>
      </w:r>
      <w:r>
        <w:t xml:space="preserve"> </w:t>
      </w:r>
      <w:r>
        <w:t xml:space="preserve">les problèmes soulevés par les clients, ou issus des andons opérateurs.</w:t>
      </w:r>
    </w:p>
    <w:p>
      <w:pPr>
        <w:pStyle w:val="FirstParagraph"/>
      </w:pPr>
      <w:r>
        <w:t xml:space="preserve">Les étapes se lisent en trois temps :</w:t>
      </w:r>
      <w:r>
        <w:t xml:space="preserve"> </w:t>
      </w:r>
      <w:r>
        <w:rPr>
          <w:bCs/>
          <w:b/>
        </w:rPr>
        <w:t xml:space="preserve">comprendre</w:t>
      </w:r>
      <w:r>
        <w:t xml:space="preserve"> </w:t>
      </w:r>
      <w:r>
        <w:t xml:space="preserve">(étapes 1 à 4),</w:t>
      </w:r>
      <w:r>
        <w:t xml:space="preserve"> </w:t>
      </w:r>
      <w:r>
        <w:rPr>
          <w:bCs/>
          <w:b/>
        </w:rPr>
        <w:t xml:space="preserve">agir</w:t>
      </w:r>
      <w:r>
        <w:t xml:space="preserve"> </w:t>
      </w:r>
      <w:r>
        <w:t xml:space="preserve">(étapes 5 et 6), puis</w:t>
      </w:r>
      <w:r>
        <w:t xml:space="preserve"> </w:t>
      </w:r>
      <w:r>
        <w:rPr>
          <w:bCs/>
          <w:b/>
        </w:rPr>
        <w:t xml:space="preserve">vérifier et pérenniser</w:t>
      </w:r>
      <w:r>
        <w:t xml:space="preserve"> </w:t>
      </w:r>
      <w:r>
        <w:t xml:space="preserve">(étapes 7 et 8).</w:t>
      </w:r>
    </w:p>
    <w:bookmarkEnd w:id="20"/>
    <w:bookmarkStart w:id="21" w:name="clarifier-le-contexte-et-les-enjeux"/>
    <w:p>
      <w:pPr>
        <w:pStyle w:val="Titre2"/>
      </w:pPr>
      <w:r>
        <w:t xml:space="preserve">1 – Clarifier le contexte et les enjeux</w:t>
      </w:r>
    </w:p>
    <w:p>
      <w:pPr>
        <w:pStyle w:val="FirstParagraph"/>
      </w:pPr>
      <w:r>
        <w:rPr>
          <w:bCs/>
          <w:b/>
        </w:rPr>
        <w:t xml:space="preserve">Attendu :</w:t>
      </w:r>
      <w:r>
        <w:t xml:space="preserve"> </w:t>
      </w:r>
      <w:r>
        <w:t xml:space="preserve">un sujet pertinent, relié aux attentes du client et aux objectifs de l’entreprise, que chacun comprend de la même façon.</w:t>
      </w:r>
    </w:p>
    <w:p>
      <w:pPr>
        <w:numPr>
          <w:ilvl w:val="0"/>
          <w:numId w:val="1002"/>
        </w:numPr>
        <w:pStyle w:val="Compact"/>
      </w:pPr>
      <w:r>
        <w:t xml:space="preserve">Pourquoi ce sujet, et pourquoi maintenant ?</w:t>
      </w:r>
    </w:p>
    <w:p>
      <w:pPr>
        <w:numPr>
          <w:ilvl w:val="0"/>
          <w:numId w:val="1002"/>
        </w:numPr>
        <w:pStyle w:val="Compact"/>
      </w:pPr>
      <w:r>
        <w:t xml:space="preserve">Quel est l’enjeu pour le client, la sécurité, la qualité, les coûts, les délais ?</w:t>
      </w:r>
    </w:p>
    <w:p>
      <w:pPr>
        <w:pStyle w:val="FirstParagraph"/>
      </w:pPr>
      <w:r>
        <w:rPr>
          <w:u w:val="single"/>
          <w:bCs/>
          <w:b/>
        </w:rPr>
        <w:t xml:space="preserve">Outils associés</w:t>
      </w:r>
      <w:r>
        <w:rPr>
          <w:bCs/>
          <w:b/>
        </w:rPr>
        <w:t xml:space="preserve"> </w:t>
      </w:r>
      <w:r>
        <w:rPr>
          <w:bCs/>
          <w:b/>
        </w:rPr>
        <w:t xml:space="preserve">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QQOQCCP</w:t>
      </w:r>
      <w:r>
        <w:t xml:space="preserve"> </w:t>
      </w:r>
      <w:r>
        <w:t xml:space="preserve">(Quoi, Qui, Où, Quand, Comment, Combien, Pourquoi) pour poser le sujet sans formulation vague.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Indicateurs (KPI)</w:t>
      </w:r>
      <w:r>
        <w:t xml:space="preserve"> </w:t>
      </w:r>
      <w:r>
        <w:t xml:space="preserve">en lien avec la stratégie.</w:t>
      </w:r>
    </w:p>
    <w:bookmarkEnd w:id="21"/>
    <w:bookmarkStart w:id="22" w:name="X01bd9ffaf2f1f33a4e8b324eb2a19fd8d8c7273"/>
    <w:p>
      <w:pPr>
        <w:pStyle w:val="Titre2"/>
      </w:pPr>
      <w:r>
        <w:t xml:space="preserve">2 – Comprendre la situation actuelle et analyser les causes</w:t>
      </w:r>
    </w:p>
    <w:p>
      <w:pPr>
        <w:pStyle w:val="FirstParagraph"/>
      </w:pPr>
      <w:r>
        <w:rPr>
          <w:bCs/>
          <w:b/>
        </w:rPr>
        <w:t xml:space="preserve">Attendu :</w:t>
      </w:r>
      <w:r>
        <w:t xml:space="preserve"> </w:t>
      </w:r>
      <w:r>
        <w:t xml:space="preserve">une description factuelle et chiffrée de l’écart entre le standard attendu et le réel, observée sur le terrain.</w:t>
      </w:r>
    </w:p>
    <w:p>
      <w:pPr>
        <w:numPr>
          <w:ilvl w:val="0"/>
          <w:numId w:val="1004"/>
        </w:numPr>
        <w:pStyle w:val="Compact"/>
      </w:pPr>
      <w:r>
        <w:t xml:space="preserve">Aller voir sur le lieu même du problème (gemba).</w:t>
      </w:r>
    </w:p>
    <w:p>
      <w:pPr>
        <w:numPr>
          <w:ilvl w:val="0"/>
          <w:numId w:val="1004"/>
        </w:numPr>
        <w:pStyle w:val="Compact"/>
      </w:pPr>
      <w:r>
        <w:t xml:space="preserve">Quantifier : fréquence, localisation, tendance.</w:t>
      </w:r>
    </w:p>
    <w:p>
      <w:pPr>
        <w:pStyle w:val="FirstParagraph"/>
      </w:pPr>
      <w:r>
        <w:rPr>
          <w:u w:val="single"/>
          <w:bCs/>
          <w:b/>
        </w:rPr>
        <w:t xml:space="preserve">Outils associés</w:t>
      </w:r>
      <w:r>
        <w:rPr>
          <w:bCs/>
          <w:b/>
        </w:rPr>
        <w:t xml:space="preserve"> </w:t>
      </w:r>
      <w:r>
        <w:rPr>
          <w:bCs/>
          <w:b/>
        </w:rPr>
        <w:t xml:space="preserve">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Feuille de relevés, Pareto, histogramme</w:t>
      </w:r>
      <w:r>
        <w:t xml:space="preserve"> </w:t>
      </w:r>
      <w:r>
        <w:t xml:space="preserve">pour chiffrer l’écart.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Cartographie du processus (MIFA)</w:t>
      </w:r>
      <w:r>
        <w:t xml:space="preserve"> </w:t>
      </w:r>
      <w:r>
        <w:t xml:space="preserve">pour visualiser le flux.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Comparaison conforme / non conforme</w:t>
      </w:r>
      <w:r>
        <w:t xml:space="preserve"> </w:t>
      </w:r>
      <w:r>
        <w:t xml:space="preserve">pour isoler ce qui change.</w:t>
      </w:r>
    </w:p>
    <w:bookmarkEnd w:id="22"/>
    <w:bookmarkStart w:id="23" w:name="Xe32d3f91525f1d5dbc5f3d9dce9231641e3e4cb"/>
    <w:p>
      <w:pPr>
        <w:pStyle w:val="Titre2"/>
      </w:pPr>
      <w:r>
        <w:t xml:space="preserve">3 – Définir les objectifs et la situation cible (court et long termes)</w:t>
      </w:r>
    </w:p>
    <w:p>
      <w:pPr>
        <w:pStyle w:val="FirstParagraph"/>
      </w:pPr>
      <w:r>
        <w:rPr>
          <w:bCs/>
          <w:b/>
        </w:rPr>
        <w:t xml:space="preserve">Attendu :</w:t>
      </w:r>
      <w:r>
        <w:t xml:space="preserve"> </w:t>
      </w:r>
      <w:r>
        <w:t xml:space="preserve">un objectif mesurable, daté, ambitieux mais réaliste, avec un résultat visé à court terme et une cible à long terme.</w:t>
      </w:r>
    </w:p>
    <w:p>
      <w:pPr>
        <w:numPr>
          <w:ilvl w:val="0"/>
          <w:numId w:val="1006"/>
        </w:numPr>
        <w:pStyle w:val="Compact"/>
      </w:pPr>
      <w:r>
        <w:t xml:space="preserve">Exprimer l’objectif en valeur de départ, valeur cible et échéance.</w:t>
      </w:r>
    </w:p>
    <w:p>
      <w:pPr>
        <w:numPr>
          <w:ilvl w:val="0"/>
          <w:numId w:val="1006"/>
        </w:numPr>
        <w:pStyle w:val="Compact"/>
      </w:pPr>
      <w:r>
        <w:t xml:space="preserve">Distinguer le gain rapide de l’ambition durable.</w:t>
      </w:r>
    </w:p>
    <w:p>
      <w:pPr>
        <w:pStyle w:val="FirstParagraph"/>
      </w:pPr>
      <w:r>
        <w:rPr>
          <w:u w:val="single"/>
          <w:bCs/>
          <w:b/>
        </w:rPr>
        <w:t xml:space="preserve">Outils associés</w:t>
      </w:r>
      <w:r>
        <w:rPr>
          <w:bCs/>
          <w:b/>
        </w:rPr>
        <w:t xml:space="preserve"> </w:t>
      </w:r>
      <w:r>
        <w:rPr>
          <w:bCs/>
          <w:b/>
        </w:rPr>
        <w:t xml:space="preserve">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Objectifs SMART.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Indicateurs (KPI)</w:t>
      </w:r>
      <w:r>
        <w:t xml:space="preserve"> </w:t>
      </w:r>
      <w:r>
        <w:t xml:space="preserve">de résultat et de processus.</w:t>
      </w:r>
    </w:p>
    <w:bookmarkEnd w:id="23"/>
    <w:bookmarkStart w:id="24" w:name="identifier-les-causes-racines"/>
    <w:p>
      <w:pPr>
        <w:pStyle w:val="Titre2"/>
      </w:pPr>
      <w:r>
        <w:t xml:space="preserve">4 – Identifier les causes racines</w:t>
      </w:r>
    </w:p>
    <w:p>
      <w:pPr>
        <w:pStyle w:val="FirstParagraph"/>
      </w:pPr>
      <w:r>
        <w:rPr>
          <w:bCs/>
          <w:b/>
        </w:rPr>
        <w:t xml:space="preserve">Attendu :</w:t>
      </w:r>
      <w:r>
        <w:t xml:space="preserve"> </w:t>
      </w:r>
      <w:r>
        <w:t xml:space="preserve">une ou plusieurs causes racines prouvées sur le terrain, au-delà des symptômes.</w:t>
      </w:r>
    </w:p>
    <w:p>
      <w:pPr>
        <w:numPr>
          <w:ilvl w:val="0"/>
          <w:numId w:val="1008"/>
        </w:numPr>
        <w:pStyle w:val="Compact"/>
      </w:pPr>
      <w:r>
        <w:t xml:space="preserve">Énumérer les causes possibles, puis les vérifier.</w:t>
      </w:r>
    </w:p>
    <w:p>
      <w:pPr>
        <w:numPr>
          <w:ilvl w:val="0"/>
          <w:numId w:val="1008"/>
        </w:numPr>
        <w:pStyle w:val="Compact"/>
      </w:pPr>
      <w:r>
        <w:t xml:space="preserve">Descendre jusqu’à la cause sur laquelle on peut agir.</w:t>
      </w:r>
    </w:p>
    <w:p>
      <w:pPr>
        <w:pStyle w:val="FirstParagraph"/>
      </w:pPr>
      <w:r>
        <w:rPr>
          <w:u w:val="single"/>
          <w:bCs/>
          <w:b/>
        </w:rPr>
        <w:t xml:space="preserve">Outils associés</w:t>
      </w:r>
      <w:r>
        <w:rPr>
          <w:bCs/>
          <w:b/>
        </w:rPr>
        <w:t xml:space="preserve"> </w:t>
      </w:r>
      <w:r>
        <w:rPr>
          <w:bCs/>
          <w:b/>
        </w:rPr>
        <w:t xml:space="preserve">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Diagramme d’Ishikawa (6M)</w:t>
      </w:r>
      <w:r>
        <w:t xml:space="preserve"> </w:t>
      </w:r>
      <w:r>
        <w:t xml:space="preserve">pour énumérer et classer les causes possibles.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5 Pourquoi</w:t>
      </w:r>
      <w:r>
        <w:t xml:space="preserve"> </w:t>
      </w:r>
      <w:r>
        <w:t xml:space="preserve">pour descendre jusqu’à la cause racine.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Arbre des causes</w:t>
      </w:r>
      <w:r>
        <w:t xml:space="preserve"> </w:t>
      </w:r>
      <w:r>
        <w:t xml:space="preserve">pour relier les causes entre elles.</w:t>
      </w:r>
    </w:p>
    <w:bookmarkEnd w:id="24"/>
    <w:bookmarkStart w:id="25" w:name="X242da10c9cd221faf22df974358ee0225d8e750"/>
    <w:p>
      <w:pPr>
        <w:pStyle w:val="Titre2"/>
      </w:pPr>
      <w:r>
        <w:t xml:space="preserve">5 – Définir et mettre en œuvre les contre-mesures</w:t>
      </w:r>
    </w:p>
    <w:p>
      <w:pPr>
        <w:pStyle w:val="FirstParagraph"/>
      </w:pPr>
      <w:r>
        <w:rPr>
          <w:bCs/>
          <w:b/>
        </w:rPr>
        <w:t xml:space="preserve">Attendu :</w:t>
      </w:r>
      <w:r>
        <w:t xml:space="preserve"> </w:t>
      </w:r>
      <w:r>
        <w:t xml:space="preserve">au moins une contre-mesure par cause racine, choisie sur des critères explicites et validée avec les équipes concernées.</w:t>
      </w:r>
    </w:p>
    <w:p>
      <w:pPr>
        <w:numPr>
          <w:ilvl w:val="0"/>
          <w:numId w:val="1010"/>
        </w:numPr>
        <w:pStyle w:val="Compact"/>
      </w:pPr>
      <w:r>
        <w:t xml:space="preserve">Envisager plusieurs solutions, puis retenir les plus efficaces et les plus simples.</w:t>
      </w:r>
    </w:p>
    <w:p>
      <w:pPr>
        <w:numPr>
          <w:ilvl w:val="0"/>
          <w:numId w:val="1010"/>
        </w:numPr>
        <w:pStyle w:val="Compact"/>
      </w:pPr>
      <w:r>
        <w:t xml:space="preserve">Anticiper l’effet sur les autres équipes et sur le client.</w:t>
      </w:r>
    </w:p>
    <w:p>
      <w:pPr>
        <w:pStyle w:val="FirstParagraph"/>
      </w:pPr>
      <w:r>
        <w:rPr>
          <w:u w:val="single"/>
          <w:bCs/>
          <w:b/>
        </w:rPr>
        <w:t xml:space="preserve">Outils associés</w:t>
      </w:r>
      <w:r>
        <w:rPr>
          <w:bCs/>
          <w:b/>
        </w:rPr>
        <w:t xml:space="preserve"> </w:t>
      </w:r>
      <w:r>
        <w:rPr>
          <w:bCs/>
          <w:b/>
        </w:rPr>
        <w:t xml:space="preserve">: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Matrice impact / effort.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Critères de choix</w:t>
      </w:r>
      <w:r>
        <w:t xml:space="preserve"> </w:t>
      </w:r>
      <w:r>
        <w:t xml:space="preserve">: coût, délai, efficacité.</w:t>
      </w:r>
    </w:p>
    <w:bookmarkEnd w:id="25"/>
    <w:bookmarkStart w:id="26" w:name="établir-le-plan-dactions"/>
    <w:p>
      <w:pPr>
        <w:pStyle w:val="Titre2"/>
      </w:pPr>
      <w:r>
        <w:t xml:space="preserve">6 – Établir le plan d’actions</w:t>
      </w:r>
    </w:p>
    <w:p>
      <w:pPr>
        <w:pStyle w:val="FirstParagraph"/>
      </w:pPr>
      <w:r>
        <w:rPr>
          <w:bCs/>
          <w:b/>
        </w:rPr>
        <w:t xml:space="preserve">Attendu :</w:t>
      </w:r>
      <w:r>
        <w:t xml:space="preserve"> </w:t>
      </w:r>
      <w:r>
        <w:t xml:space="preserve">un plan clair : qui fait quoi, pour quand, avec quel suivi.</w:t>
      </w:r>
    </w:p>
    <w:p>
      <w:pPr>
        <w:numPr>
          <w:ilvl w:val="0"/>
          <w:numId w:val="1012"/>
        </w:numPr>
        <w:pStyle w:val="Compact"/>
      </w:pPr>
      <w:r>
        <w:t xml:space="preserve">Engager une action ou un changement à la fois pour comprendre les impacts.</w:t>
      </w:r>
    </w:p>
    <w:p>
      <w:pPr>
        <w:numPr>
          <w:ilvl w:val="0"/>
          <w:numId w:val="1012"/>
        </w:numPr>
        <w:pStyle w:val="Compact"/>
      </w:pPr>
      <w:r>
        <w:t xml:space="preserve">Désigner un responsable et une échéance pour chaque action.</w:t>
      </w:r>
    </w:p>
    <w:p>
      <w:pPr>
        <w:pStyle w:val="FirstParagraph"/>
      </w:pPr>
      <w:r>
        <w:rPr>
          <w:u w:val="single"/>
          <w:bCs/>
          <w:b/>
        </w:rPr>
        <w:t xml:space="preserve">Outils associés</w:t>
      </w:r>
      <w:r>
        <w:rPr>
          <w:bCs/>
          <w:b/>
        </w:rPr>
        <w:t xml:space="preserve"> </w:t>
      </w:r>
      <w:r>
        <w:rPr>
          <w:bCs/>
          <w:b/>
        </w:rPr>
        <w:t xml:space="preserve">: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Plan d’actions</w:t>
      </w:r>
      <w:r>
        <w:t xml:space="preserve"> </w:t>
      </w:r>
      <w:r>
        <w:t xml:space="preserve">(Qui, Quoi, Quand).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Planning (Gantt)</w:t>
      </w:r>
      <w:r>
        <w:t xml:space="preserve"> </w:t>
      </w:r>
      <w:r>
        <w:t xml:space="preserve">et</w:t>
      </w:r>
      <w:r>
        <w:t xml:space="preserve"> </w:t>
      </w:r>
      <w:r>
        <w:rPr>
          <w:bCs/>
          <w:b/>
        </w:rPr>
        <w:t xml:space="preserve">management visuel</w:t>
      </w:r>
      <w:r>
        <w:t xml:space="preserve"> </w:t>
      </w:r>
      <w:r>
        <w:t xml:space="preserve">pour le suivi.</w:t>
      </w:r>
    </w:p>
    <w:bookmarkEnd w:id="26"/>
    <w:bookmarkStart w:id="27" w:name="mesurer-les-résultats-et-standardiser"/>
    <w:p>
      <w:pPr>
        <w:pStyle w:val="Titre2"/>
      </w:pPr>
      <w:r>
        <w:t xml:space="preserve">7 – Mesurer les résultats et standardiser</w:t>
      </w:r>
    </w:p>
    <w:p>
      <w:pPr>
        <w:pStyle w:val="FirstParagraph"/>
      </w:pPr>
      <w:r>
        <w:rPr>
          <w:bCs/>
          <w:b/>
        </w:rPr>
        <w:t xml:space="preserve">Attendu :</w:t>
      </w:r>
      <w:r>
        <w:t xml:space="preserve"> </w:t>
      </w:r>
      <w:r>
        <w:t xml:space="preserve">la preuve que l’objectif est atteint, puis la fixation de la nouvelle façon de faire pour éviter le retour en arrière.</w:t>
      </w:r>
    </w:p>
    <w:p>
      <w:pPr>
        <w:numPr>
          <w:ilvl w:val="0"/>
          <w:numId w:val="1014"/>
        </w:numPr>
        <w:pStyle w:val="Compact"/>
      </w:pPr>
      <w:r>
        <w:t xml:space="preserve">Comparer la situation avec l’état initial et avec l’objectif ; vérifier l’absence d’effet négatif ailleurs.</w:t>
      </w:r>
    </w:p>
    <w:p>
      <w:pPr>
        <w:numPr>
          <w:ilvl w:val="0"/>
          <w:numId w:val="1014"/>
        </w:numPr>
        <w:pStyle w:val="Compact"/>
      </w:pPr>
      <w:r>
        <w:t xml:space="preserve">Si les résultats sont satisfaisants, standardiser ; sinon, ajuster et relancer un cycle.</w:t>
      </w:r>
    </w:p>
    <w:p>
      <w:pPr>
        <w:pStyle w:val="FirstParagraph"/>
      </w:pPr>
      <w:r>
        <w:rPr>
          <w:u w:val="single"/>
          <w:bCs/>
          <w:b/>
        </w:rPr>
        <w:t xml:space="preserve">Outils associés</w:t>
      </w:r>
      <w:r>
        <w:rPr>
          <w:bCs/>
          <w:b/>
        </w:rPr>
        <w:t xml:space="preserve"> </w:t>
      </w:r>
      <w:r>
        <w:rPr>
          <w:bCs/>
          <w:b/>
        </w:rPr>
        <w:t xml:space="preserve">: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Indicateurs (KPI) avant / après</w:t>
      </w:r>
      <w:r>
        <w:t xml:space="preserve"> </w:t>
      </w:r>
      <w:r>
        <w:t xml:space="preserve">et</w:t>
      </w:r>
      <w:r>
        <w:t xml:space="preserve"> </w:t>
      </w:r>
      <w:r>
        <w:rPr>
          <w:bCs/>
          <w:b/>
        </w:rPr>
        <w:t xml:space="preserve">carte de contrôle</w:t>
      </w:r>
      <w:r>
        <w:t xml:space="preserve"> </w:t>
      </w:r>
      <w:r>
        <w:t xml:space="preserve">pour détecter les dérives.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Standard de travail</w:t>
      </w:r>
      <w:r>
        <w:t xml:space="preserve"> </w:t>
      </w:r>
      <w:r>
        <w:t xml:space="preserve">et procédures mises à jour.</w:t>
      </w:r>
    </w:p>
    <w:bookmarkEnd w:id="27"/>
    <w:bookmarkStart w:id="28" w:name="capitaliser-lessons-learned"/>
    <w:p>
      <w:pPr>
        <w:pStyle w:val="Titre2"/>
      </w:pPr>
      <w:r>
        <w:t xml:space="preserve">8 – Capitaliser : Lessons Learned</w:t>
      </w:r>
    </w:p>
    <w:p>
      <w:pPr>
        <w:pStyle w:val="FirstParagraph"/>
      </w:pPr>
      <w:r>
        <w:rPr>
          <w:bCs/>
          <w:b/>
        </w:rPr>
        <w:t xml:space="preserve">Attendu :</w:t>
      </w:r>
      <w:r>
        <w:t xml:space="preserve"> </w:t>
      </w:r>
      <w:r>
        <w:t xml:space="preserve">les enseignements sont formalisés et partagés pour être réutilisés ailleurs.</w:t>
      </w:r>
    </w:p>
    <w:p>
      <w:pPr>
        <w:numPr>
          <w:ilvl w:val="0"/>
          <w:numId w:val="1016"/>
        </w:numPr>
        <w:pStyle w:val="Compact"/>
      </w:pPr>
      <w:r>
        <w:t xml:space="preserve">Qu’a-t-on appris sur le produit, le processus, notre façon de travailler ?</w:t>
      </w:r>
    </w:p>
    <w:p>
      <w:pPr>
        <w:numPr>
          <w:ilvl w:val="0"/>
          <w:numId w:val="1016"/>
        </w:numPr>
        <w:pStyle w:val="Compact"/>
      </w:pPr>
      <w:r>
        <w:t xml:space="preserve">Qui d’autre peut en profiter ? Quel nouveau sujet ouvre-t-on ?</w:t>
      </w:r>
    </w:p>
    <w:p>
      <w:pPr>
        <w:pStyle w:val="FirstParagraph"/>
      </w:pPr>
      <w:r>
        <w:rPr>
          <w:u w:val="single"/>
          <w:bCs/>
          <w:b/>
        </w:rPr>
        <w:t xml:space="preserve">Outils associés</w:t>
      </w:r>
      <w:r>
        <w:rPr>
          <w:bCs/>
          <w:b/>
        </w:rPr>
        <w:t xml:space="preserve"> </w:t>
      </w:r>
      <w:r>
        <w:rPr>
          <w:bCs/>
          <w:b/>
        </w:rPr>
        <w:t xml:space="preserve">: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Fiche Lessons Learned.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Partage en réunion d’équipe</w:t>
      </w:r>
      <w:r>
        <w:t xml:space="preserve"> </w:t>
      </w:r>
      <w:r>
        <w:t xml:space="preserve">et</w:t>
      </w:r>
      <w:r>
        <w:t xml:space="preserve"> </w:t>
      </w:r>
      <w:r>
        <w:rPr>
          <w:bCs/>
          <w:b/>
        </w:rPr>
        <w:t xml:space="preserve">transversalisation</w:t>
      </w:r>
      <w:r>
        <w:t xml:space="preserve"> </w:t>
      </w:r>
      <w:r>
        <w:t xml:space="preserve">aux sujets similaires.</w:t>
      </w:r>
    </w:p>
    <w:bookmarkEnd w:id="28"/>
    <w:bookmarkStart w:id="29" w:name="tableau-récapitulatif"/>
    <w:p>
      <w:pPr>
        <w:pStyle w:val="Titre2"/>
      </w:pPr>
      <w:r>
        <w:t xml:space="preserve">Tableau récapitulatif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Étape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Attendu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Contexte et enjeux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Pourquoi ce sujet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Enjeux clarifiés et partagés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QQOQCCP, KPI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Situation actuelle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Où en est-on vraiment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Écart factuel et chiffré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Relevés, Pareto, MIFA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Objectifs et cible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vise-t-on, et pour quand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Objectif mesurable, court et long termes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SMART, KPI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Causes racines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Pourquoi est-ce arrivé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Causes racines prouvées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Ishikawa, 5 Pourquoi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Contre-mesures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fait-on contre chaque cause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Une contre-mesure par cause racine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Matrice impact / effort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Plan d’actions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 fait quoi, quand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daté avec responsables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d’actions, Gantt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 Résultats et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Ça marche, et ça tient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Objectif atteint, standard mis à jour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KPI, standards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 Lessons Learned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Qu’en retient-on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Enseignements partagés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Fiche Lessons Learned</w:t>
            </w:r>
          </w:p>
        </w:tc>
      </w:tr>
    </w:tbl>
    <w:bookmarkEnd w:id="29"/>
    <w:bookmarkStart w:id="30" w:name="lien-avec-le-pdca-et-le-8d"/>
    <w:p>
      <w:pPr>
        <w:pStyle w:val="Titre2"/>
      </w:pPr>
      <w:r>
        <w:t xml:space="preserve">Lien avec le PDCA et le 8D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PDCA :</w:t>
      </w:r>
      <w:r>
        <w:t xml:space="preserve"> </w:t>
      </w:r>
      <w:r>
        <w:t xml:space="preserve">Plan = étapes 1 à 5 ; Do = étape 6 ; Check et Act = étapes 7 et 8.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8D :</w:t>
      </w:r>
      <w:r>
        <w:t xml:space="preserve"> </w:t>
      </w:r>
      <w:r>
        <w:t xml:space="preserve">contexte, enjeux et situation actuelle (D1 à D3, avec D4 si le client est touché), causes racines (D5), contre-mesures et plan d’actions (D6), résultats et standard (D7), Lessons Learned (D8).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Choisir :</w:t>
      </w:r>
      <w:r>
        <w:t xml:space="preserve"> </w:t>
      </w:r>
      <w:r>
        <w:t xml:space="preserve">le PDCA pour un problème simple traité pas à pas, le A3 pour un sujet à présenter et à discuter sur une feuille, le 8D pour un problème client formel, avec équipe et rapport.</w:t>
      </w:r>
    </w:p>
    <w:bookmarkEnd w:id="30"/>
    <w:sectPr w:rsidR="00C503C0" w:rsidRPr="00991E8B" w:rsidSect="005A5700">
      <w:pgSz w:h="15840" w:w="12240"/>
      <w:pgMar w:bottom="1417" w:footer="720" w:gutter="0" w:header="720" w:left="993" w:right="1183" w:top="426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00340752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6450C48A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273680895" w:numId="1">
    <w:abstractNumId w:val="0"/>
  </w:num>
  <w:num w16cid:durableId="451485323" w:numId="2">
    <w:abstractNumId w:val="1"/>
  </w:num>
  <w:num w16cid:durableId="350645467" w:numId="3">
    <w:abstractNumId w:val="1"/>
  </w:num>
  <w:num w16cid:durableId="972297095" w:numId="4">
    <w:abstractNumId w:val="1"/>
  </w:num>
  <w:num w16cid:durableId="1834491547" w:numId="5">
    <w:abstractNumId w:val="1"/>
  </w:num>
  <w:num w16cid:durableId="2005663789" w:numId="6">
    <w:abstractNumId w:val="1"/>
  </w:num>
  <w:num w16cid:durableId="1932201908" w:numId="7">
    <w:abstractNumId w:val="1"/>
  </w:num>
  <w:num w16cid:durableId="945774624" w:numId="8">
    <w:abstractNumId w:val="1"/>
  </w:num>
  <w:num w16cid:durableId="267205650" w:numId="9">
    <w:abstractNumId w:val="1"/>
  </w:num>
  <w:num w16cid:durableId="2040005800" w:numId="10">
    <w:abstractNumId w:val="1"/>
  </w:num>
  <w:num w16cid:durableId="991787730" w:numId="11">
    <w:abstractNumId w:val="1"/>
  </w:num>
  <w:num w16cid:durableId="421143820" w:numId="12">
    <w:abstractNumId w:val="1"/>
  </w:num>
  <w:num w16cid:durableId="1225607230" w:numId="13">
    <w:abstractNumId w:val="1"/>
  </w:num>
  <w:num w16cid:durableId="1705404506" w:numId="14">
    <w:abstractNumId w:val="1"/>
  </w:num>
  <w:num w16cid:durableId="717246492" w:numId="15">
    <w:abstractNumId w:val="1"/>
  </w:num>
  <w:num w16cid:durableId="667172920" w:numId="16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Titre1" w:type="paragraph">
    <w:name w:val="heading 1"/>
    <w:basedOn w:val="Normal"/>
    <w:next w:val="Corpsdetexte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Titre2" w:type="paragraph">
    <w:name w:val="heading 2"/>
    <w:basedOn w:val="Normal"/>
    <w:next w:val="Corpsdetexte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Titre3" w:type="paragraph">
    <w:name w:val="heading 3"/>
    <w:basedOn w:val="Normal"/>
    <w:next w:val="Corpsdetexte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Titre4" w:type="paragraph">
    <w:name w:val="heading 4"/>
    <w:basedOn w:val="Normal"/>
    <w:next w:val="Corpsdetexte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</w:rPr>
  </w:style>
  <w:style w:styleId="Titre5" w:type="paragraph">
    <w:name w:val="heading 5"/>
    <w:basedOn w:val="Normal"/>
    <w:next w:val="Corpsdetexte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</w:rPr>
  </w:style>
  <w:style w:styleId="Titre6" w:type="paragraph">
    <w:name w:val="heading 6"/>
    <w:basedOn w:val="Normal"/>
    <w:next w:val="Corpsdetexte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</w:rPr>
  </w:style>
  <w:style w:styleId="Titre7" w:type="paragraph">
    <w:name w:val="heading 7"/>
    <w:basedOn w:val="Normal"/>
    <w:next w:val="Corpsdetexte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Titre8" w:type="paragraph">
    <w:name w:val="heading 8"/>
    <w:basedOn w:val="Normal"/>
    <w:next w:val="Corpsdetexte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Titre9" w:type="paragraph">
    <w:name w:val="heading 9"/>
    <w:basedOn w:val="Normal"/>
    <w:next w:val="Corpsdetexte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styleId="Corpsdetexte" w:type="paragraph">
    <w:name w:val="Body Text"/>
    <w:basedOn w:val="Normal"/>
    <w:qFormat/>
    <w:pPr>
      <w:spacing w:after="180" w:before="180"/>
    </w:pPr>
  </w:style>
  <w:style w:customStyle="1" w:styleId="FirstParagraph" w:type="paragraph">
    <w:name w:val="First Paragraph"/>
    <w:basedOn w:val="Corpsdetexte"/>
    <w:next w:val="Corpsdetexte"/>
    <w:qFormat/>
  </w:style>
  <w:style w:customStyle="1" w:styleId="Compact" w:type="paragraph">
    <w:name w:val="Compact"/>
    <w:basedOn w:val="Corpsdetexte"/>
    <w:qFormat/>
    <w:pPr>
      <w:spacing w:after="36" w:before="36"/>
    </w:pPr>
  </w:style>
  <w:style w:styleId="Titre" w:type="paragraph">
    <w:name w:val="Title"/>
    <w:basedOn w:val="Normal"/>
    <w:next w:val="Corpsdetexte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ous-titre" w:type="paragraph">
    <w:name w:val="Subtitle"/>
    <w:basedOn w:val="Titre"/>
    <w:next w:val="Corpsdetexte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Corpsdetexte"/>
    <w:qFormat/>
    <w:pPr>
      <w:keepNext/>
      <w:keepLines/>
      <w:jc w:val="center"/>
    </w:pPr>
  </w:style>
  <w:style w:styleId="Date" w:type="paragraph">
    <w:name w:val="Date"/>
    <w:next w:val="Corpsdetexte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Corpsdetexte"/>
    <w:qFormat/>
    <w:pPr>
      <w:keepNext/>
      <w:keepLines/>
      <w:spacing w:after="300" w:before="100"/>
    </w:pPr>
    <w:rPr>
      <w:sz w:val="20"/>
      <w:szCs w:val="20"/>
    </w:rPr>
  </w:style>
  <w:style w:styleId="Bibliographie" w:type="paragraph">
    <w:name w:val="Bibliography"/>
    <w:basedOn w:val="Normal"/>
    <w:qFormat/>
  </w:style>
  <w:style w:styleId="Normalcentr" w:type="paragraph">
    <w:name w:val="Block Text"/>
    <w:basedOn w:val="Corpsdetexte"/>
    <w:next w:val="Corpsdetexte"/>
    <w:uiPriority w:val="9"/>
    <w:unhideWhenUsed/>
    <w:qFormat/>
    <w:pPr>
      <w:spacing w:after="100" w:before="100"/>
      <w:ind w:left="480" w:right="480"/>
    </w:pPr>
  </w:style>
  <w:style w:styleId="Notedebasdepage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Lgende" w:type="paragraph">
    <w:name w:val="caption"/>
    <w:basedOn w:val="Normal"/>
    <w:link w:val="LgendeCar"/>
    <w:pPr>
      <w:spacing w:after="120"/>
    </w:pPr>
    <w:rPr>
      <w:i/>
    </w:rPr>
  </w:style>
  <w:style w:customStyle="1" w:styleId="TableCaption" w:type="paragraph">
    <w:name w:val="Table Caption"/>
    <w:basedOn w:val="Lgende"/>
    <w:pPr>
      <w:keepNext/>
    </w:pPr>
  </w:style>
  <w:style w:customStyle="1" w:styleId="ImageCaption" w:type="paragraph">
    <w:name w:val="Image Caption"/>
    <w:basedOn w:val="Lgende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LgendeCar" w:type="character">
    <w:name w:val="Légende Car"/>
    <w:basedOn w:val="Policepardfaut"/>
    <w:link w:val="Lgende"/>
  </w:style>
  <w:style w:customStyle="1" w:styleId="VerbatimChar" w:type="character">
    <w:name w:val="Verbatim Char"/>
    <w:basedOn w:val="LgendeCar"/>
    <w:link w:val="SourceCode"/>
    <w:rPr>
      <w:rFonts w:ascii="Consolas" w:hAnsi="Consolas"/>
      <w:sz w:val="22"/>
    </w:rPr>
  </w:style>
  <w:style w:customStyle="1" w:styleId="SectionNumber" w:type="character">
    <w:name w:val="Section Number"/>
    <w:basedOn w:val="LgendeCar"/>
  </w:style>
  <w:style w:styleId="Appelnotedebasdep" w:type="character">
    <w:name w:val="footnote reference"/>
    <w:basedOn w:val="LgendeCar"/>
    <w:rPr>
      <w:vertAlign w:val="superscript"/>
    </w:rPr>
  </w:style>
  <w:style w:styleId="Lienhypertexte" w:type="character">
    <w:name w:val="Hyperlink"/>
    <w:basedOn w:val="LgendeCar"/>
    <w:rPr>
      <w:color w:themeColor="accent1" w:val="4F81BD"/>
    </w:rPr>
  </w:style>
  <w:style w:styleId="En-ttedetabledesmatires" w:type="paragraph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007020"/>
      <w:sz w:val="22"/>
    </w:rPr>
  </w:style>
  <w:style w:customStyle="1" w:styleId="DataTypeTok" w:type="character">
    <w:name w:val="DataTypeTok"/>
    <w:basedOn w:val="VerbatimChar"/>
    <w:rPr>
      <w:rFonts w:ascii="Consolas" w:hAnsi="Consolas"/>
      <w:color w:val="902000"/>
      <w:sz w:val="22"/>
    </w:rPr>
  </w:style>
  <w:style w:customStyle="1" w:styleId="DecValTok" w:type="character">
    <w:name w:val="DecValTok"/>
    <w:basedOn w:val="VerbatimChar"/>
    <w:rPr>
      <w:rFonts w:ascii="Consolas" w:hAnsi="Consolas"/>
      <w:color w:val="40A070"/>
      <w:sz w:val="22"/>
    </w:rPr>
  </w:style>
  <w:style w:customStyle="1" w:styleId="BaseNTok" w:type="character">
    <w:name w:val="BaseNTok"/>
    <w:basedOn w:val="VerbatimChar"/>
    <w:rPr>
      <w:rFonts w:ascii="Consolas" w:hAnsi="Consolas"/>
      <w:color w:val="40A070"/>
      <w:sz w:val="22"/>
    </w:rPr>
  </w:style>
  <w:style w:customStyle="1" w:styleId="FloatTok" w:type="character">
    <w:name w:val="FloatTok"/>
    <w:basedOn w:val="VerbatimChar"/>
    <w:rPr>
      <w:rFonts w:ascii="Consolas" w:hAnsi="Consolas"/>
      <w:color w:val="40A070"/>
      <w:sz w:val="22"/>
    </w:rPr>
  </w:style>
  <w:style w:customStyle="1" w:styleId="ConstantTok" w:type="character">
    <w:name w:val="ConstantTok"/>
    <w:basedOn w:val="VerbatimChar"/>
    <w:rPr>
      <w:rFonts w:ascii="Consolas" w:hAnsi="Consolas"/>
      <w:color w:val="880000"/>
      <w:sz w:val="22"/>
    </w:rPr>
  </w:style>
  <w:style w:customStyle="1" w:styleId="CharTok" w:type="character">
    <w:name w:val="CharTok"/>
    <w:basedOn w:val="VerbatimChar"/>
    <w:rPr>
      <w:rFonts w:ascii="Consolas" w:hAnsi="Consolas"/>
      <w:color w:val="4070A0"/>
      <w:sz w:val="22"/>
    </w:rPr>
  </w:style>
  <w:style w:customStyle="1" w:styleId="SpecialCharTok" w:type="character">
    <w:name w:val="SpecialCharTok"/>
    <w:basedOn w:val="VerbatimChar"/>
    <w:rPr>
      <w:rFonts w:ascii="Consolas" w:hAnsi="Consolas"/>
      <w:color w:val="4070A0"/>
      <w:sz w:val="22"/>
    </w:rPr>
  </w:style>
  <w:style w:customStyle="1" w:styleId="StringTok" w:type="character">
    <w:name w:val="StringTok"/>
    <w:basedOn w:val="VerbatimChar"/>
    <w:rPr>
      <w:rFonts w:ascii="Consolas" w:hAnsi="Consolas"/>
      <w:color w:val="4070A0"/>
      <w:sz w:val="22"/>
    </w:rPr>
  </w:style>
  <w:style w:customStyle="1" w:styleId="VerbatimStringTok" w:type="character">
    <w:name w:val="VerbatimStringTok"/>
    <w:basedOn w:val="VerbatimChar"/>
    <w:rPr>
      <w:rFonts w:ascii="Consolas" w:hAnsi="Consolas"/>
      <w:color w:val="4070A0"/>
      <w:sz w:val="22"/>
    </w:rPr>
  </w:style>
  <w:style w:customStyle="1" w:styleId="SpecialStringTok" w:type="character">
    <w:name w:val="SpecialStringTok"/>
    <w:basedOn w:val="VerbatimChar"/>
    <w:rPr>
      <w:rFonts w:ascii="Consolas" w:hAnsi="Consolas"/>
      <w:color w:val="BB6688"/>
      <w:sz w:val="22"/>
    </w:rPr>
  </w:style>
  <w:style w:customStyle="1" w:styleId="ImportTok" w:type="character">
    <w:name w:val="ImportTok"/>
    <w:basedOn w:val="VerbatimChar"/>
    <w:rPr>
      <w:rFonts w:ascii="Consolas" w:hAnsi="Consolas"/>
      <w:b/>
      <w:color w:val="008000"/>
      <w:sz w:val="22"/>
    </w:rPr>
  </w:style>
  <w:style w:customStyle="1" w:styleId="CommentTok" w:type="character">
    <w:name w:val="CommentTok"/>
    <w:basedOn w:val="VerbatimChar"/>
    <w:rPr>
      <w:rFonts w:ascii="Consolas" w:hAnsi="Consolas"/>
      <w:i/>
      <w:color w:val="60A0B0"/>
      <w:sz w:val="22"/>
    </w:rPr>
  </w:style>
  <w:style w:customStyle="1" w:styleId="DocumentationTok" w:type="character">
    <w:name w:val="DocumentationTok"/>
    <w:basedOn w:val="VerbatimChar"/>
    <w:rPr>
      <w:rFonts w:ascii="Consolas" w:hAnsi="Consolas"/>
      <w:i/>
      <w:color w:val="BA2121"/>
      <w:sz w:val="22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60A0B0"/>
      <w:sz w:val="22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60A0B0"/>
      <w:sz w:val="22"/>
    </w:rPr>
  </w:style>
  <w:style w:customStyle="1" w:styleId="OtherTok" w:type="character">
    <w:name w:val="OtherTok"/>
    <w:basedOn w:val="VerbatimChar"/>
    <w:rPr>
      <w:rFonts w:ascii="Consolas" w:hAnsi="Consolas"/>
      <w:color w:val="007020"/>
      <w:sz w:val="22"/>
    </w:rPr>
  </w:style>
  <w:style w:customStyle="1" w:styleId="FunctionTok" w:type="character">
    <w:name w:val="FunctionTok"/>
    <w:basedOn w:val="VerbatimChar"/>
    <w:rPr>
      <w:rFonts w:ascii="Consolas" w:hAnsi="Consolas"/>
      <w:color w:val="06287E"/>
      <w:sz w:val="22"/>
    </w:rPr>
  </w:style>
  <w:style w:customStyle="1" w:styleId="VariableTok" w:type="character">
    <w:name w:val="VariableTok"/>
    <w:basedOn w:val="VerbatimChar"/>
    <w:rPr>
      <w:rFonts w:ascii="Consolas" w:hAnsi="Consolas"/>
      <w:color w:val="19177C"/>
      <w:sz w:val="22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007020"/>
      <w:sz w:val="22"/>
    </w:rPr>
  </w:style>
  <w:style w:customStyle="1" w:styleId="OperatorTok" w:type="character">
    <w:name w:val="OperatorTok"/>
    <w:basedOn w:val="VerbatimChar"/>
    <w:rPr>
      <w:rFonts w:ascii="Consolas" w:hAnsi="Consolas"/>
      <w:color w:val="666666"/>
      <w:sz w:val="22"/>
    </w:rPr>
  </w:style>
  <w:style w:customStyle="1" w:styleId="BuiltInTok" w:type="character">
    <w:name w:val="BuiltInTok"/>
    <w:basedOn w:val="VerbatimChar"/>
    <w:rPr>
      <w:rFonts w:ascii="Consolas" w:hAnsi="Consolas"/>
      <w:color w:val="008000"/>
      <w:sz w:val="22"/>
    </w:rPr>
  </w:style>
  <w:style w:customStyle="1" w:styleId="ExtensionTok" w:type="character">
    <w:name w:val="ExtensionTok"/>
    <w:basedOn w:val="VerbatimChar"/>
    <w:rPr>
      <w:rFonts w:ascii="Consolas" w:hAnsi="Consolas"/>
      <w:sz w:val="22"/>
    </w:rPr>
  </w:style>
  <w:style w:customStyle="1" w:styleId="PreprocessorTok" w:type="character">
    <w:name w:val="PreprocessorTok"/>
    <w:basedOn w:val="VerbatimChar"/>
    <w:rPr>
      <w:rFonts w:ascii="Consolas" w:hAnsi="Consolas"/>
      <w:color w:val="BC7A00"/>
      <w:sz w:val="22"/>
    </w:rPr>
  </w:style>
  <w:style w:customStyle="1" w:styleId="AttributeTok" w:type="character">
    <w:name w:val="AttributeTok"/>
    <w:basedOn w:val="VerbatimChar"/>
    <w:rPr>
      <w:rFonts w:ascii="Consolas" w:hAnsi="Consolas"/>
      <w:color w:val="7D9029"/>
      <w:sz w:val="22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60A0B0"/>
      <w:sz w:val="22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60A0B0"/>
      <w:sz w:val="22"/>
    </w:rPr>
  </w:style>
  <w:style w:customStyle="1" w:styleId="AlertTok" w:type="character">
    <w:name w:val="AlertTok"/>
    <w:basedOn w:val="VerbatimChar"/>
    <w:rPr>
      <w:rFonts w:ascii="Consolas" w:hAnsi="Consolas"/>
      <w:b/>
      <w:color w:val="FF0000"/>
      <w:sz w:val="22"/>
    </w:rPr>
  </w:style>
  <w:style w:customStyle="1" w:styleId="ErrorTok" w:type="character">
    <w:name w:val="ErrorTok"/>
    <w:basedOn w:val="VerbatimChar"/>
    <w:rPr>
      <w:rFonts w:ascii="Consolas" w:hAnsi="Consolas"/>
      <w:b/>
      <w:color w:val="FF0000"/>
      <w:sz w:val="22"/>
    </w:rPr>
  </w:style>
  <w:style w:customStyle="1" w:styleId="NormalTok" w:type="character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5</Pages>
  <Words>1544</Words>
  <Characters>8495</Characters>
  <Application>Microsoft Office Word</Application>
  <DocSecurity>0</DocSecurity>
  <Lines>70</Lines>
  <Paragraphs>20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Synthèse de la démarche 8D</vt:lpstr>
    </vt:vector>
  </TitlesOfParts>
  <Company/>
  <LinksUpToDate>false</LinksUpToDate>
  <CharactersWithSpaces>10019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Synthèse de la démarche A3</dc:title>
  <dc:creator/>
  <cp:keywords/>
  <dcterms:created xsi:type="dcterms:W3CDTF">2026-10-16T06:20:14Z</dcterms:created>
  <dcterms:modified xsi:type="dcterms:W3CDTF">2026-10-16T06:20:14Z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