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8"/>
        </w:numPr>
        <w:spacing w:before="240" w:after="480"/>
        <w:rPr/>
      </w:pPr>
      <w:r>
        <w:rPr/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>Gözden geçirelim</w:t>
      </w:r>
    </w:p>
    <w:p>
      <w:pPr>
        <w:pStyle w:val="Dialogue"/>
        <w:numPr>
          <w:ilvl w:val="0"/>
          <w:numId w:val="13"/>
        </w:numPr>
        <w:rPr/>
      </w:pPr>
      <w:r>
        <w:rPr/>
        <w:t>Est-ce une fenêtre ou une porte ?</w:t>
      </w:r>
    </w:p>
    <w:p>
      <w:pPr>
        <w:pStyle w:val="Dialogue"/>
        <w:numPr>
          <w:ilvl w:val="0"/>
          <w:numId w:val="13"/>
        </w:numPr>
        <w:rPr/>
      </w:pPr>
      <w:r>
        <w:rPr/>
        <w:t>Une table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cahier ou un stylo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carnet ?</w:t>
      </w:r>
    </w:p>
    <w:p>
      <w:pPr>
        <w:pStyle w:val="Dialogue"/>
        <w:numPr>
          <w:ilvl w:val="0"/>
          <w:numId w:val="13"/>
        </w:numPr>
        <w:rPr/>
      </w:pPr>
      <w:r>
        <w:rPr/>
        <w:t>Une chemise ou un pantalon ?</w:t>
      </w:r>
    </w:p>
    <w:p>
      <w:pPr>
        <w:pStyle w:val="Dialogue"/>
        <w:numPr>
          <w:ilvl w:val="0"/>
          <w:numId w:val="13"/>
        </w:numPr>
        <w:rPr/>
      </w:pPr>
      <w:r>
        <w:rPr/>
        <w:t>Un pullover ou une chaussette ?</w:t>
      </w:r>
    </w:p>
    <w:p>
      <w:pPr>
        <w:pStyle w:val="Dialogue"/>
        <w:numPr>
          <w:ilvl w:val="0"/>
          <w:numId w:val="13"/>
        </w:numPr>
        <w:rPr/>
      </w:pPr>
      <w:r>
        <w:rPr/>
        <w:t>Une porte ou un mur ?</w:t>
      </w:r>
    </w:p>
    <w:p>
      <w:pPr>
        <w:pStyle w:val="Dialogue"/>
        <w:numPr>
          <w:ilvl w:val="0"/>
          <w:numId w:val="13"/>
        </w:numPr>
        <w:rPr/>
      </w:pPr>
      <w:r>
        <w:rPr/>
        <w:t>Un mur ou un rideau ?</w:t>
      </w:r>
    </w:p>
    <w:p>
      <w:pPr>
        <w:pStyle w:val="Dialogue"/>
        <w:numPr>
          <w:ilvl w:val="0"/>
          <w:numId w:val="13"/>
        </w:numPr>
        <w:rPr/>
      </w:pPr>
      <w:r>
        <w:rPr/>
        <w:t>Une bague ou un bracelet ?</w:t>
      </w:r>
    </w:p>
    <w:p>
      <w:pPr>
        <w:pStyle w:val="Dialogue"/>
        <w:numPr>
          <w:ilvl w:val="0"/>
          <w:numId w:val="13"/>
        </w:numPr>
        <w:rPr/>
      </w:pPr>
      <w:r>
        <w:rPr/>
        <w:t>Une main ou un pied ?</w:t>
      </w:r>
    </w:p>
    <w:p>
      <w:pPr>
        <w:pStyle w:val="Dialogue"/>
        <w:numPr>
          <w:ilvl w:val="0"/>
          <w:numId w:val="13"/>
        </w:numPr>
        <w:rPr/>
      </w:pPr>
      <w:r>
        <w:rPr/>
        <w:t>Un fauteuil ou une chaise ?</w:t>
      </w:r>
    </w:p>
    <w:p>
      <w:pPr>
        <w:pStyle w:val="Dialogue"/>
        <w:numPr>
          <w:ilvl w:val="0"/>
          <w:numId w:val="13"/>
        </w:numPr>
        <w:rPr/>
      </w:pPr>
      <w:r>
        <w:rPr/>
        <w:t>Un coffre ou une table ?</w:t>
      </w:r>
    </w:p>
    <w:p>
      <w:pPr>
        <w:pStyle w:val="Dialogue"/>
        <w:numPr>
          <w:ilvl w:val="0"/>
          <w:numId w:val="13"/>
        </w:numPr>
        <w:rPr/>
      </w:pPr>
      <w:r>
        <w:rPr/>
        <w:t>Une montre ou un bijou-fantaisie ?</w:t>
      </w:r>
    </w:p>
    <w:p>
      <w:pPr>
        <w:pStyle w:val="Heading5"/>
        <w:numPr>
          <w:ilvl w:val="4"/>
          <w:numId w:val="1"/>
        </w:numPr>
        <w:spacing w:before="480" w:after="120"/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Ünlü uyumu — etraflıca</w:t>
      </w:r>
    </w:p>
    <w:p>
      <w:pPr>
        <w:pStyle w:val="Commentaire"/>
        <w:spacing w:before="180" w:after="12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>il y a trois modes de catégorisation des voyelles :</w:t>
      </w:r>
    </w:p>
    <w:tbl>
      <w:tblPr>
        <w:tblW w:w="9288" w:type="dxa"/>
        <w:jc w:val="left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809"/>
        <w:gridCol w:w="1985"/>
        <w:gridCol w:w="1984"/>
        <w:gridCol w:w="1560"/>
        <w:gridCol w:w="1950"/>
      </w:tblGrid>
      <w:tr>
        <w:trPr/>
        <w:tc>
          <w:tcPr>
            <w:tcW w:w="1809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sz w:val="20"/>
                <w:lang w:val="fr-FR"/>
              </w:rPr>
            </w:pPr>
            <w:r>
              <w:rPr>
                <w:rFonts w:cs="Calibri" w:ascii="Calibri" w:hAnsi="Calibri"/>
                <w:sz w:val="20"/>
                <w:lang w:val="fr-FR"/>
              </w:rPr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Düz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(plane) = non labiale</w:t>
            </w:r>
          </w:p>
        </w:tc>
        <w:tc>
          <w:tcPr>
            <w:tcW w:w="3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Yuvarlak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(ronde) = labiale</w:t>
            </w:r>
          </w:p>
        </w:tc>
      </w:tr>
      <w:tr>
        <w:trPr/>
        <w:tc>
          <w:tcPr>
            <w:tcW w:w="180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Calibri" w:hAnsi="Calibri" w:cs="Calibri"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Cs/>
                <w:sz w:val="20"/>
                <w:lang w:val="fr-FR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Geniş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(ouverte)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  <w:r>
              <w:rPr>
                <w:rFonts w:cs="Calibri" w:ascii="Calibri" w:hAnsi="Calibri"/>
                <w:sz w:val="20"/>
                <w:lang w:val="fr-FR"/>
              </w:rPr>
              <w:t xml:space="preserve"> (étroite)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iCs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Geniş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i/>
                <w:i/>
                <w:sz w:val="20"/>
                <w:lang w:val="fr-FR"/>
              </w:rPr>
            </w:pPr>
            <w:r>
              <w:rPr>
                <w:rFonts w:cs="Calibri" w:ascii="Calibri" w:hAnsi="Calibri"/>
                <w:i/>
                <w:sz w:val="20"/>
                <w:lang w:val="fr-FR"/>
              </w:rPr>
              <w:t>Dar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Kalın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(épaisse) = postérieure, vélaire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u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  <w:i/>
                <w:iCs/>
                <w:sz w:val="20"/>
                <w:lang w:val="fr-FR"/>
              </w:rPr>
              <w:t>İnce</w:t>
            </w:r>
            <w:r>
              <w:rPr>
                <w:rFonts w:cs="Calibri" w:ascii="Calibri" w:hAnsi="Calibri"/>
                <w:iCs/>
                <w:sz w:val="20"/>
                <w:lang w:val="fr-FR"/>
              </w:rPr>
              <w:t xml:space="preserve"> (fine) = antérieure, palatale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</w:rPr>
            </w:pPr>
            <w:r>
              <w:rPr>
                <w:rFonts w:cs="Calibri" w:ascii="Calibri" w:hAnsi="Calibri"/>
                <w:b/>
                <w:i/>
              </w:rPr>
              <w:t>i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iCs/>
              </w:rPr>
            </w:pPr>
            <w:r>
              <w:rPr>
                <w:rFonts w:cs="Calibri" w:ascii="Calibri" w:hAnsi="Calibri"/>
                <w:b/>
                <w:i/>
                <w:iCs/>
              </w:rPr>
              <w:t>ö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i/>
                <w:i/>
                <w:lang w:val="fr-FR"/>
              </w:rPr>
            </w:pPr>
            <w:r>
              <w:rPr>
                <w:rFonts w:cs="Calibri" w:ascii="Calibri" w:hAnsi="Calibri"/>
                <w:b/>
                <w:i/>
                <w:lang w:val="fr-FR"/>
              </w:rPr>
              <w:t>ü</w:t>
            </w:r>
          </w:p>
        </w:tc>
      </w:tr>
    </w:tbl>
    <w:p>
      <w:pPr>
        <w:pStyle w:val="Commentaire"/>
        <w:keepNext w:val="true"/>
        <w:rPr/>
      </w:pPr>
      <w:r>
        <w:rPr/>
        <w:t>S’ensuivent, suivant « la tendance humaine naturelle au moindre effort musculaire » (</w:t>
      </w:r>
      <w:r>
        <w:rPr>
          <w:i/>
        </w:rPr>
        <w:t xml:space="preserve">dixit </w:t>
      </w:r>
      <w:r>
        <w:rPr/>
        <w:t>Lewis 2000 : 14), trois règles d’harmonie vocalique :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le mot commence par une voyelle antérieure, celles qui suivent le sont également ; </w:t>
      </w:r>
      <w:r>
        <w:rPr>
          <w:i/>
        </w:rPr>
        <w:t>idem</w:t>
      </w:r>
      <w:r>
        <w:rPr/>
        <w:t xml:space="preserve"> pour les postérieures. 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non labiale, les suivantes le sont également. Ex. </w:t>
      </w:r>
      <w:r>
        <w:rPr>
          <w:i/>
        </w:rPr>
        <w:t>iş-siz</w:t>
      </w:r>
    </w:p>
    <w:p>
      <w:pPr>
        <w:pStyle w:val="Commentaire"/>
        <w:numPr>
          <w:ilvl w:val="0"/>
          <w:numId w:val="4"/>
        </w:numPr>
        <w:rPr/>
      </w:pPr>
      <w:r>
        <w:rPr/>
        <w:t xml:space="preserve">si la première voyelle est labiale, les suivantes sont soit labiales fermées (ex. </w:t>
      </w:r>
      <w:r>
        <w:rPr>
          <w:i/>
        </w:rPr>
        <w:t>yol-cu</w:t>
      </w:r>
      <w:r>
        <w:rPr/>
        <w:t xml:space="preserve">), soit non labiales ouvertes (ex. </w:t>
      </w:r>
      <w:r>
        <w:rPr>
          <w:i/>
        </w:rPr>
        <w:t>yol-da</w:t>
      </w:r>
      <w:r>
        <w:rPr/>
        <w:t>, en chemin).</w:t>
      </w:r>
    </w:p>
    <w:p>
      <w:pPr>
        <w:pStyle w:val="Normal"/>
        <w:spacing w:before="280" w:after="0"/>
        <w:rPr/>
      </w:pPr>
      <w:r>
        <w:rPr>
          <w:lang w:val="fr-FR"/>
        </w:rPr>
        <w:t>Le vocable est riche en termes qui sont en eux-mêmes des exceptions à ces règles :</w:t>
      </w:r>
    </w:p>
    <w:p>
      <w:pPr>
        <w:pStyle w:val="Commentaire"/>
        <w:numPr>
          <w:ilvl w:val="0"/>
          <w:numId w:val="9"/>
        </w:numPr>
        <w:rPr>
          <w:rStyle w:val="Emphasis"/>
          <w:i w:val="false"/>
          <w:i w:val="false"/>
          <w:iCs w:val="false"/>
        </w:rPr>
      </w:pPr>
      <w:r>
        <w:rPr>
          <w:rStyle w:val="Emphasis"/>
        </w:rPr>
        <w:t>anne</w:t>
      </w:r>
      <w:r>
        <w:rPr>
          <w:rStyle w:val="Emphasis"/>
          <w:i w:val="false"/>
        </w:rPr>
        <w:t xml:space="preserve"> (la mère), </w:t>
      </w:r>
      <w:r>
        <w:rPr>
          <w:rStyle w:val="Emphasis"/>
        </w:rPr>
        <w:t>dahi</w:t>
      </w:r>
      <w:r>
        <w:rPr>
          <w:rStyle w:val="Emphasis"/>
          <w:i w:val="false"/>
        </w:rPr>
        <w:t xml:space="preserve"> (de plus),</w:t>
      </w:r>
      <w:r>
        <w:rPr>
          <w:rStyle w:val="Emphasis"/>
        </w:rPr>
        <w:t xml:space="preserve"> elma</w:t>
      </w:r>
      <w:r>
        <w:rPr>
          <w:rStyle w:val="Emphasis"/>
          <w:i w:val="false"/>
        </w:rPr>
        <w:t xml:space="preserve"> (la pomme), </w:t>
      </w:r>
      <w:r>
        <w:rPr>
          <w:rStyle w:val="Emphasis"/>
        </w:rPr>
        <w:t>hangi</w:t>
      </w:r>
      <w:r>
        <w:rPr>
          <w:rStyle w:val="Emphasis"/>
          <w:i w:val="false"/>
        </w:rPr>
        <w:t xml:space="preserve"> (quel), </w:t>
      </w:r>
      <w:r>
        <w:rPr>
          <w:rStyle w:val="Emphasis"/>
        </w:rPr>
        <w:t>hani</w:t>
      </w:r>
      <w:r>
        <w:rPr>
          <w:rStyle w:val="Emphasis"/>
          <w:i w:val="false"/>
        </w:rPr>
        <w:t xml:space="preserve"> (ah ça mais), </w:t>
      </w:r>
      <w:r>
        <w:rPr>
          <w:rStyle w:val="Emphasis"/>
        </w:rPr>
        <w:t>inanmak</w:t>
      </w:r>
      <w:r>
        <w:rPr>
          <w:rStyle w:val="Emphasis"/>
          <w:i w:val="false"/>
        </w:rPr>
        <w:t xml:space="preserve"> (croire), </w:t>
      </w:r>
      <w:r>
        <w:rPr>
          <w:rStyle w:val="Emphasis"/>
        </w:rPr>
        <w:t>kardeş</w:t>
      </w:r>
      <w:r>
        <w:rPr>
          <w:rStyle w:val="Emphasis"/>
          <w:i w:val="false"/>
        </w:rPr>
        <w:t xml:space="preserve"> (le frère),</w:t>
      </w:r>
      <w:r>
        <w:rPr>
          <w:rStyle w:val="Emphasis"/>
        </w:rPr>
        <w:t xml:space="preserve"> selam</w:t>
      </w:r>
      <w:r>
        <w:rPr>
          <w:rStyle w:val="Emphasis"/>
          <w:i w:val="false"/>
        </w:rPr>
        <w:t xml:space="preserve"> (salut),</w:t>
      </w:r>
      <w:r>
        <w:rPr>
          <w:rStyle w:val="Emphasis"/>
        </w:rPr>
        <w:t xml:space="preserve"> şişman</w:t>
      </w:r>
      <w:r>
        <w:rPr>
          <w:rStyle w:val="Emphasis"/>
          <w:i w:val="false"/>
        </w:rPr>
        <w:t xml:space="preserve"> (enflé),</w:t>
      </w:r>
      <w:r>
        <w:rPr/>
        <w:t xml:space="preserve"> </w:t>
      </w:r>
      <w:r>
        <w:rPr>
          <w:rStyle w:val="Emphasis"/>
        </w:rPr>
        <w:t>tiyatro, viraj, ziyaret</w:t>
      </w:r>
      <w:r>
        <w:rPr>
          <w:rStyle w:val="Emphasis"/>
          <w:i w:val="false"/>
        </w:rPr>
        <w:t xml:space="preserve"> (visite).</w:t>
      </w:r>
    </w:p>
    <w:p>
      <w:pPr>
        <w:pStyle w:val="Commentaire"/>
        <w:numPr>
          <w:ilvl w:val="0"/>
          <w:numId w:val="9"/>
        </w:numPr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</w:rPr>
        <w:t xml:space="preserve">mots composés : </w:t>
      </w:r>
      <w:r>
        <w:rPr>
          <w:rStyle w:val="Emphasis"/>
        </w:rPr>
        <w:t>açıkgöz</w:t>
      </w:r>
      <w:r>
        <w:rPr>
          <w:rStyle w:val="Emphasis"/>
          <w:i w:val="false"/>
        </w:rPr>
        <w:t xml:space="preserve"> dégourdi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œil-ouvert),</w:t>
      </w:r>
      <w:r>
        <w:rPr>
          <w:rStyle w:val="Emphasis"/>
        </w:rPr>
        <w:t xml:space="preserve"> bilgisayar</w:t>
      </w:r>
      <w:r>
        <w:rPr>
          <w:rStyle w:val="Emphasis"/>
          <w:i w:val="false"/>
        </w:rPr>
        <w:t xml:space="preserve"> l’ordinateur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le compte-savoir), </w:t>
      </w:r>
      <w:r>
        <w:rPr>
          <w:rStyle w:val="Emphasis"/>
        </w:rPr>
        <w:t>çekyat</w:t>
      </w:r>
      <w:r>
        <w:rPr>
          <w:rStyle w:val="Emphasis"/>
          <w:i w:val="false"/>
        </w:rPr>
        <w:t xml:space="preserve"> le canapé-lit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tire-et-allonge-toi), </w:t>
      </w:r>
      <w:r>
        <w:rPr>
          <w:rStyle w:val="Emphasis"/>
        </w:rPr>
        <w:t>hanımeli</w:t>
      </w:r>
      <w:r>
        <w:rPr>
          <w:rStyle w:val="Emphasis"/>
          <w:i w:val="false"/>
        </w:rPr>
        <w:t xml:space="preserve"> le chèvrefeuille (</w:t>
      </w:r>
      <w:r>
        <w:rPr>
          <w:rStyle w:val="Emphasis"/>
        </w:rPr>
        <w:t>litt.</w:t>
      </w:r>
      <w:r>
        <w:rPr>
          <w:rStyle w:val="Emphasis"/>
          <w:i w:val="false"/>
        </w:rPr>
        <w:t xml:space="preserve"> main-de-dame)</w:t>
      </w:r>
    </w:p>
    <w:p>
      <w:pPr>
        <w:pStyle w:val="Commentaire"/>
        <w:numPr>
          <w:ilvl w:val="0"/>
          <w:numId w:val="9"/>
        </w:numPr>
        <w:rPr/>
      </w:pPr>
      <w:r>
        <w:rPr>
          <w:rStyle w:val="Emphasis"/>
          <w:i w:val="false"/>
        </w:rPr>
        <w:t xml:space="preserve">certains suffixes restent invariables : </w:t>
      </w:r>
      <w:r>
        <w:rPr>
          <w:rStyle w:val="Emphasis"/>
        </w:rPr>
        <w:t>-daş (-taş)</w:t>
      </w:r>
      <w:r>
        <w:rPr>
          <w:rStyle w:val="Emphasis"/>
          <w:i w:val="false"/>
          <w:iCs w:val="false"/>
        </w:rPr>
        <w:t xml:space="preserve">, </w:t>
      </w:r>
      <w:r>
        <w:rPr>
          <w:rStyle w:val="Emphasis"/>
        </w:rPr>
        <w:t>-ki</w:t>
      </w:r>
      <w:r>
        <w:rPr>
          <w:rStyle w:val="Emphasis"/>
          <w:i w:val="false"/>
        </w:rPr>
        <w:t xml:space="preserve">. </w:t>
        <w:br/>
      </w:r>
      <w:r>
        <w:rPr>
          <w:rStyle w:val="Emphasis"/>
        </w:rPr>
        <w:t>din-daş</w:t>
      </w:r>
      <w:r>
        <w:rPr>
          <w:rStyle w:val="Emphasis"/>
          <w:i w:val="false"/>
        </w:rPr>
        <w:t xml:space="preserve"> (correligionnaire),</w:t>
      </w:r>
      <w:r>
        <w:rPr>
          <w:rStyle w:val="Emphasis"/>
        </w:rPr>
        <w:t xml:space="preserve"> gönül-daş</w:t>
      </w:r>
      <w:r>
        <w:rPr>
          <w:rStyle w:val="Emphasis"/>
          <w:i w:val="false"/>
        </w:rPr>
        <w:t xml:space="preserve"> (ami intime),</w:t>
      </w:r>
      <w:r>
        <w:rPr>
          <w:rStyle w:val="Emphasis"/>
        </w:rPr>
        <w:t xml:space="preserve"> meslek-taş</w:t>
      </w:r>
      <w:r>
        <w:rPr>
          <w:rStyle w:val="Emphasis"/>
          <w:i w:val="false"/>
        </w:rPr>
        <w:t xml:space="preserve"> (collègue),</w:t>
      </w:r>
      <w:r>
        <w:rPr>
          <w:rStyle w:val="Emphasis"/>
        </w:rPr>
        <w:t xml:space="preserve"> ülkü-daş</w:t>
      </w:r>
      <w:r>
        <w:rPr>
          <w:rStyle w:val="Emphasis"/>
          <w:i w:val="false"/>
        </w:rPr>
        <w:t xml:space="preserve"> (compagnon d’idéal, de cause) ; </w:t>
      </w:r>
      <w:r>
        <w:rPr>
          <w:rStyle w:val="Emphasis"/>
          <w:i w:val="false"/>
          <w:iCs w:val="false"/>
        </w:rPr>
        <w:br/>
      </w:r>
      <w:r>
        <w:rPr>
          <w:i/>
          <w:iCs/>
        </w:rPr>
        <w:t>akşamki</w:t>
      </w:r>
      <w:r>
        <w:rPr>
          <w:iCs/>
        </w:rPr>
        <w:t xml:space="preserve"> (du soir), </w:t>
      </w:r>
      <w:r>
        <w:rPr>
          <w:i/>
          <w:iCs/>
        </w:rPr>
        <w:t>yarınki</w:t>
      </w:r>
      <w:r>
        <w:rPr>
          <w:iCs/>
        </w:rPr>
        <w:t xml:space="preserve"> (de demain),</w:t>
      </w:r>
      <w:r>
        <w:rPr>
          <w:i/>
          <w:iCs/>
        </w:rPr>
        <w:t xml:space="preserve"> duvardaki</w:t>
      </w:r>
      <w:r>
        <w:rPr>
          <w:iCs/>
        </w:rPr>
        <w:t xml:space="preserve"> (qui est au mur),</w:t>
      </w:r>
      <w:r>
        <w:rPr>
          <w:i/>
          <w:iCs/>
        </w:rPr>
        <w:t xml:space="preserve"> yoldaki</w:t>
      </w:r>
      <w:r>
        <w:rPr>
          <w:iCs/>
        </w:rPr>
        <w:t xml:space="preserve"> (qui est en route)</w:t>
      </w:r>
    </w:p>
    <w:p>
      <w:pPr>
        <w:pStyle w:val="Commentaire"/>
        <w:rPr>
          <w:rStyle w:val="Emphasis"/>
          <w:i w:val="false"/>
          <w:i w:val="false"/>
          <w:iCs w:val="false"/>
        </w:rPr>
      </w:pPr>
      <w:r>
        <w:rPr>
          <w:rStyle w:val="Emphasis"/>
          <w:i w:val="false"/>
        </w:rPr>
        <w:t>Dans la plupart des cas, les suffixes se règlent sur la dernière voyelle du mot ; sauf pour certains mots dits « d’emprunt » (</w:t>
      </w:r>
      <w:r>
        <w:rPr>
          <w:rStyle w:val="Emphasis"/>
        </w:rPr>
        <w:t>alkol-lü</w:t>
      </w:r>
      <w:r>
        <w:rPr>
          <w:rStyle w:val="Emphasis"/>
          <w:i w:val="false"/>
        </w:rPr>
        <w:t>) ou exceptions fameuses gouvernées par une forme d’harmonie consonantique (</w:t>
      </w:r>
      <w:r>
        <w:rPr>
          <w:rStyle w:val="Emphasis"/>
        </w:rPr>
        <w:t>saat-te</w:t>
      </w:r>
      <w:r>
        <w:rPr>
          <w:rStyle w:val="Emphasis"/>
          <w:i w:val="false"/>
        </w:rPr>
        <w:t>).</w:t>
      </w:r>
    </w:p>
    <w:p>
      <w:pPr>
        <w:pStyle w:val="Normal"/>
        <w:rPr>
          <w:rStyle w:val="Emphasis"/>
          <w:i w:val="false"/>
          <w:i w:val="false"/>
          <w:iCs w:val="false"/>
          <w:lang w:val="fr-FR"/>
        </w:rPr>
      </w:pPr>
      <w:r>
        <w:rPr>
          <w:i w:val="false"/>
          <w:iCs w:val="false"/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>
          <w:lang w:val="de-DE"/>
        </w:rPr>
      </w:pPr>
      <w:r>
        <w:rPr>
          <w:lang w:val="de-DE"/>
        </w:rPr>
        <w:t>Pratik yapalım!</w:t>
      </w:r>
    </w:p>
    <w:p>
      <w:pPr>
        <w:pStyle w:val="Dialogue"/>
        <w:numPr>
          <w:ilvl w:val="0"/>
          <w:numId w:val="13"/>
        </w:numPr>
        <w:rPr>
          <w:lang w:val="it-IT"/>
        </w:rPr>
      </w:pPr>
      <w:r>
        <w:rPr>
          <w:lang w:val="it-IT"/>
        </w:rPr>
        <w:t>Günaydın! Ben … Adın ne?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Adım …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Memnun oldum.</w:t>
      </w:r>
    </w:p>
    <w:p>
      <w:pPr>
        <w:pStyle w:val="Dialogue"/>
        <w:numPr>
          <w:ilvl w:val="0"/>
          <w:numId w:val="13"/>
        </w:numPr>
        <w:rPr/>
      </w:pPr>
      <w:r>
        <w:rPr/>
        <w:t>Ben de memnun oldum.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Sende kitap var mı?</w:t>
      </w:r>
    </w:p>
    <w:p>
      <w:pPr>
        <w:pStyle w:val="Dialogue"/>
        <w:numPr>
          <w:ilvl w:val="0"/>
          <w:numId w:val="13"/>
        </w:numPr>
        <w:rPr/>
      </w:pPr>
      <w:r>
        <w:rPr/>
        <w:t>Var.</w:t>
      </w:r>
    </w:p>
    <w:p>
      <w:pPr>
        <w:pStyle w:val="Dialogue"/>
        <w:numPr>
          <w:ilvl w:val="0"/>
          <w:numId w:val="13"/>
        </w:numPr>
        <w:rPr/>
      </w:pPr>
      <w:r>
        <w:rPr/>
        <w:t>Başka ne var sende?</w:t>
      </w:r>
    </w:p>
    <w:p>
      <w:pPr>
        <w:pStyle w:val="Dialogue"/>
        <w:numPr>
          <w:ilvl w:val="0"/>
          <w:numId w:val="13"/>
        </w:numPr>
        <w:rPr>
          <w:lang w:val="de-DE"/>
        </w:rPr>
      </w:pPr>
      <w:r>
        <w:rPr>
          <w:lang w:val="de-DE"/>
        </w:rPr>
        <w:t>Kalem var, defter de var—bende çok şey var!</w:t>
      </w:r>
    </w:p>
    <w:p>
      <w:pPr>
        <w:pStyle w:val="Normal"/>
        <w:spacing w:before="360" w:after="280"/>
        <w:jc w:val="center"/>
        <w:rPr>
          <w:lang w:val="de-DE"/>
        </w:rPr>
      </w:pPr>
      <w:r>
        <w:rPr>
          <w:lang w:val="de-DE"/>
        </w:rPr>
        <w:t>* * *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banyo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ev banyolu. Bu, banyolu bir ev.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kaç banyo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evde bir banyo var. Bu, tek banyolu bir ev.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bahçe var mı?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Var. Bu okul bahçeli. Bu, bahçeli bir okul.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kaç bahçe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okulda iki bahçe var. Bu, iki bahçeli bir okul.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apartmanda kaç daire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Yedi daire var. Bu, yedi daireli bir apartman.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Bu sınıfta kaç öğrenci var?</w:t>
      </w:r>
    </w:p>
    <w:p>
      <w:pPr>
        <w:pStyle w:val="Dialogue"/>
        <w:numPr>
          <w:ilvl w:val="0"/>
          <w:numId w:val="13"/>
        </w:numPr>
        <w:rPr>
          <w:lang w:val="en-US"/>
        </w:rPr>
      </w:pPr>
      <w:r>
        <w:rPr>
          <w:lang w:val="en-US"/>
        </w:rPr>
        <w:t>Aşağı yukarı on öğrenci var. Bu, çok ama çoook öğrencili bir sınıf ya!</w:t>
      </w:r>
      <w:r>
        <w:br w:type="page"/>
      </w:r>
    </w:p>
    <w:p>
      <w:pPr>
        <w:pStyle w:val="Heading3"/>
        <w:numPr>
          <w:ilvl w:val="0"/>
          <w:numId w:val="6"/>
        </w:numPr>
        <w:rPr/>
      </w:pPr>
      <w:r>
        <w:rPr/>
        <w:t>Bitişkenlik (2)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sur la </w:t>
      </w:r>
      <w:r>
        <w:rPr>
          <w:i/>
        </w:rPr>
        <w:t>base nominale</w:t>
      </w:r>
      <w:r>
        <w:rPr/>
        <w:t xml:space="preserve"> se greffent principalement (outre les suffixes de dérivation dont l’apprentissage relève davantage du vocabulaire que de la grammaire) trois types de suffixes dont l’étude grammaticale est nécessaire : suffixes de </w:t>
      </w:r>
      <w:r>
        <w:rPr>
          <w:i/>
        </w:rPr>
        <w:t>nombre</w:t>
      </w:r>
      <w:r>
        <w:rPr/>
        <w:t xml:space="preserve"> / de </w:t>
      </w:r>
      <w:r>
        <w:rPr>
          <w:i/>
        </w:rPr>
        <w:t>personne</w:t>
      </w:r>
      <w:r>
        <w:rPr/>
        <w:t xml:space="preserve"> / de </w:t>
      </w:r>
      <w:r>
        <w:rPr>
          <w:i/>
        </w:rPr>
        <w:t>cas</w:t>
      </w:r>
      <w:r>
        <w:rPr/>
        <w:t>.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suffixe de nombre : le </w:t>
      </w:r>
      <w:r>
        <w:rPr>
          <w:i/>
        </w:rPr>
        <w:t>pluriel</w:t>
      </w:r>
    </w:p>
    <w:p>
      <w:pPr>
        <w:pStyle w:val="Normal"/>
        <w:numPr>
          <w:ilvl w:val="0"/>
          <w:numId w:val="2"/>
        </w:numPr>
        <w:rPr>
          <w:lang w:val="fr-FR"/>
        </w:rPr>
      </w:pPr>
      <w:r>
        <w:rPr>
          <w:lang w:val="fr-FR"/>
        </w:rPr>
        <w:t>emploi nominal :</w:t>
      </w:r>
    </w:p>
    <w:p>
      <w:pPr>
        <w:pStyle w:val="Normal"/>
        <w:numPr>
          <w:ilvl w:val="0"/>
          <w:numId w:val="5"/>
        </w:numPr>
        <w:rPr>
          <w:lang w:val="de-DE"/>
        </w:rPr>
      </w:pPr>
      <w:r>
        <w:rPr>
          <w:i/>
          <w:lang w:val="de-DE"/>
        </w:rPr>
        <w:t>iyi gün-ler, iyi akşam-lar</w:t>
      </w:r>
    </w:p>
    <w:p>
      <w:pPr>
        <w:pStyle w:val="Normal"/>
        <w:numPr>
          <w:ilvl w:val="0"/>
          <w:numId w:val="5"/>
        </w:numPr>
        <w:rPr>
          <w:lang w:val="fr-FR"/>
        </w:rPr>
      </w:pPr>
      <w:r>
        <w:rPr>
          <w:lang w:val="fr-FR"/>
        </w:rPr>
        <w:t>usage idiomatique avec un prénom (</w:t>
      </w:r>
      <w:r>
        <w:rPr>
          <w:i/>
          <w:lang w:val="fr-FR"/>
        </w:rPr>
        <w:t>Marc’lar</w:t>
      </w:r>
      <w:r>
        <w:rPr>
          <w:lang w:val="fr-FR"/>
        </w:rPr>
        <w:t>, Marc et ses proches)</w:t>
      </w:r>
    </w:p>
    <w:p>
      <w:pPr>
        <w:pStyle w:val="Commentaire"/>
        <w:numPr>
          <w:ilvl w:val="0"/>
          <w:numId w:val="2"/>
        </w:numPr>
        <w:rPr/>
      </w:pPr>
      <w:r>
        <w:rPr/>
        <w:t xml:space="preserve">emploi verbal : </w:t>
      </w:r>
      <w:r>
        <w:rPr>
          <w:i/>
        </w:rPr>
        <w:t>gidiyor-lar</w:t>
      </w:r>
      <w:r>
        <w:rPr/>
        <w:t>, ils partent</w:t>
      </w:r>
    </w:p>
    <w:p>
      <w:pPr>
        <w:pStyle w:val="Normal"/>
        <w:spacing w:before="240" w:after="12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lang w:val="fr-FR"/>
        </w:rPr>
        <w:t xml:space="preserve"> </w:t>
      </w:r>
      <w:r>
        <w:rPr>
          <w:lang w:val="fr-FR"/>
        </w:rPr>
        <w:t>suffixe de personne (~ possessif) :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)m</w:t>
      </w:r>
    </w:p>
    <w:p>
      <w:pPr>
        <w:pStyle w:val="Vocabulaire"/>
        <w:rPr/>
      </w:pPr>
      <w:r>
        <w:rPr/>
        <w:t>-(</w:t>
      </w:r>
      <w:r>
        <w:rPr>
          <w:smallCaps/>
        </w:rPr>
        <w:t>ı</w:t>
      </w:r>
      <w:r>
        <w:rPr/>
        <w:t>)n</w:t>
      </w:r>
    </w:p>
    <w:p>
      <w:pPr>
        <w:pStyle w:val="Vocabulaire"/>
        <w:rPr/>
      </w:pPr>
      <w:r>
        <w:rPr/>
        <w:t>-(s)</w:t>
      </w:r>
      <w:r>
        <w:rPr>
          <w:smallCaps/>
        </w:rPr>
        <w:t>ı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m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-(</w:t>
      </w:r>
      <w:r>
        <w:rPr>
          <w:smallCaps/>
        </w:rPr>
        <w:t>ı)</w:t>
      </w:r>
      <w:r>
        <w:rPr/>
        <w:t>n</w:t>
      </w:r>
      <w:r>
        <w:rPr>
          <w:smallCaps/>
        </w:rPr>
        <w:t>ı</w:t>
      </w:r>
      <w:r>
        <w:rPr/>
        <w:t>z</w:t>
      </w:r>
    </w:p>
    <w:p>
      <w:pPr>
        <w:pStyle w:val="Vocabulaire"/>
        <w:rPr/>
      </w:pPr>
      <w:r>
        <w:rPr/>
        <w:t>-l</w:t>
      </w:r>
      <w:r>
        <w:rPr>
          <w:smallCaps/>
        </w:rPr>
        <w:t>a</w:t>
      </w:r>
      <w:r>
        <w:rPr/>
        <w:t>r</w:t>
      </w:r>
      <w:r>
        <w:rPr>
          <w:smallCaps/>
        </w:rPr>
        <w:t>ı</w:t>
      </w:r>
    </w:p>
    <w:p>
      <w:pPr>
        <w:pStyle w:val="Commentaire"/>
        <w:numPr>
          <w:ilvl w:val="0"/>
          <w:numId w:val="13"/>
        </w:numPr>
        <w:spacing w:before="240" w:after="60"/>
        <w:ind w:left="714" w:hanging="357"/>
        <w:rPr>
          <w:lang w:val="tr-TR"/>
        </w:rPr>
      </w:pPr>
      <w:r>
        <w:rPr>
          <w:i/>
          <w:lang w:val="tr-TR"/>
        </w:rPr>
        <w:t>okulum</w:t>
      </w:r>
      <w:r>
        <w:rPr>
          <w:lang w:val="tr-TR"/>
        </w:rPr>
        <w:t xml:space="preserve">, </w:t>
      </w:r>
      <w:r>
        <w:rPr>
          <w:i/>
          <w:lang w:val="tr-TR"/>
        </w:rPr>
        <w:t>kitabın</w:t>
      </w:r>
      <w:r>
        <w:rPr>
          <w:lang w:val="tr-TR"/>
        </w:rPr>
        <w:t xml:space="preserve">, </w:t>
      </w:r>
      <w:r>
        <w:rPr>
          <w:i/>
          <w:lang w:val="tr-TR"/>
        </w:rPr>
        <w:t>kalemi</w:t>
      </w:r>
      <w:r>
        <w:rPr>
          <w:lang w:val="tr-TR"/>
        </w:rPr>
        <w:t xml:space="preserve">, </w:t>
      </w:r>
      <w:r>
        <w:rPr>
          <w:i/>
          <w:lang w:val="tr-TR"/>
        </w:rPr>
        <w:t>yüzüğümüz</w:t>
      </w:r>
      <w:r>
        <w:rPr>
          <w:lang w:val="tr-TR"/>
        </w:rPr>
        <w:t xml:space="preserve">, </w:t>
      </w:r>
      <w:r>
        <w:rPr>
          <w:i/>
          <w:lang w:val="tr-TR"/>
        </w:rPr>
        <w:t>defteriniz</w:t>
      </w:r>
      <w:r>
        <w:rPr>
          <w:lang w:val="tr-TR"/>
        </w:rPr>
        <w:t xml:space="preserve">, </w:t>
      </w:r>
      <w:r>
        <w:rPr>
          <w:i/>
          <w:lang w:val="tr-TR"/>
        </w:rPr>
        <w:t>apartmanları</w:t>
      </w:r>
    </w:p>
    <w:p>
      <w:pPr>
        <w:pStyle w:val="Commentaire"/>
        <w:numPr>
          <w:ilvl w:val="0"/>
          <w:numId w:val="13"/>
        </w:numPr>
        <w:spacing w:before="60" w:after="60"/>
        <w:ind w:left="714" w:hanging="357"/>
        <w:rPr>
          <w:lang w:val="tr-TR"/>
        </w:rPr>
      </w:pPr>
      <w:r>
        <w:rPr>
          <w:i/>
          <w:lang w:val="tr-TR"/>
        </w:rPr>
        <w:t>dairem</w:t>
      </w:r>
      <w:r>
        <w:rPr>
          <w:lang w:val="tr-TR"/>
        </w:rPr>
        <w:t xml:space="preserve">, </w:t>
      </w:r>
      <w:r>
        <w:rPr>
          <w:i/>
          <w:lang w:val="tr-TR"/>
        </w:rPr>
        <w:t>hocan</w:t>
      </w:r>
      <w:r>
        <w:rPr>
          <w:lang w:val="tr-TR"/>
        </w:rPr>
        <w:t xml:space="preserve">, </w:t>
      </w:r>
      <w:r>
        <w:rPr>
          <w:i/>
          <w:lang w:val="tr-TR"/>
        </w:rPr>
        <w:t>lisesi</w:t>
      </w:r>
      <w:r>
        <w:rPr>
          <w:lang w:val="tr-TR"/>
        </w:rPr>
        <w:t xml:space="preserve">, </w:t>
      </w:r>
      <w:r>
        <w:rPr>
          <w:i/>
          <w:lang w:val="tr-TR"/>
        </w:rPr>
        <w:t>Fransa’mız</w:t>
      </w:r>
      <w:r>
        <w:rPr>
          <w:lang w:val="tr-TR"/>
        </w:rPr>
        <w:t xml:space="preserve">, </w:t>
      </w:r>
      <w:r>
        <w:rPr>
          <w:i/>
          <w:lang w:val="tr-TR"/>
        </w:rPr>
        <w:t>bölgeniz</w:t>
      </w:r>
      <w:r>
        <w:rPr>
          <w:lang w:val="tr-TR"/>
        </w:rPr>
        <w:t xml:space="preserve">, </w:t>
      </w:r>
      <w:r>
        <w:rPr>
          <w:i/>
          <w:lang w:val="tr-TR"/>
        </w:rPr>
        <w:t>üyeleri</w:t>
      </w:r>
    </w:p>
    <w:p>
      <w:pPr>
        <w:pStyle w:val="Commentair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 xml:space="preserve">les cas : commençons par faire le point sur celui que nous avons déjà rencontré à plusieurs reprises, le </w:t>
      </w:r>
      <w:r>
        <w:rPr>
          <w:b/>
          <w:i/>
        </w:rPr>
        <w:t>locatif</w:t>
      </w:r>
      <w:r>
        <w:rPr>
          <w:b/>
        </w:rPr>
        <w:t> : -d</w:t>
      </w:r>
      <w:r>
        <w:rPr>
          <w:b/>
          <w:smallCaps/>
        </w:rPr>
        <w:t>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ben-de</w:t>
      </w:r>
      <w:r>
        <w:rPr/>
        <w:t>,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siz-de</w:t>
      </w:r>
      <w:r>
        <w:rPr/>
        <w:t>, sur vous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onlar-da</w:t>
      </w:r>
      <w:r>
        <w:rPr/>
        <w:t xml:space="preserve">, sur eux (elles) 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o-n-da</w:t>
      </w:r>
      <w:r>
        <w:rPr/>
        <w:t>, sur lui (elle)</w:t>
        <w:tab/>
        <w:tab/>
        <w:t xml:space="preserve">— noter ici l’usage du </w:t>
      </w:r>
      <w:r>
        <w:rPr>
          <w:i/>
        </w:rPr>
        <w:t>-n-</w:t>
      </w:r>
      <w:r>
        <w:rPr/>
        <w:t xml:space="preserve"> en consonne de liaison</w:t>
      </w:r>
    </w:p>
    <w:p>
      <w:pPr>
        <w:pStyle w:val="Dialogue"/>
        <w:numPr>
          <w:ilvl w:val="0"/>
          <w:numId w:val="13"/>
        </w:numPr>
        <w:rPr/>
      </w:pPr>
      <w:r>
        <w:rPr/>
        <w:t>istasyon-da</w:t>
      </w:r>
    </w:p>
    <w:p>
      <w:pPr>
        <w:pStyle w:val="Dialogue"/>
        <w:numPr>
          <w:ilvl w:val="0"/>
          <w:numId w:val="13"/>
        </w:numPr>
        <w:rPr/>
      </w:pPr>
      <w:r>
        <w:rPr/>
        <w:t>feribot-ta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Türkiye’de</w:t>
      </w:r>
      <w:r>
        <w:rPr/>
        <w:t>, en Turquie</w:t>
        <w:tab/>
        <w:t>— noter l’usage de l’apostrophe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</w:t>
      </w:r>
      <w:r>
        <w:rPr/>
        <w:t>, en France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complété par </w:t>
      </w:r>
      <w:r>
        <w:rPr>
          <w:i/>
        </w:rPr>
        <w:t>-ki</w:t>
      </w:r>
      <w:r>
        <w:rPr/>
        <w:t xml:space="preserve"> (= qui est)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bendeki</w:t>
      </w:r>
      <w:r>
        <w:rPr/>
        <w:t>, qui est sur moi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Fransa’daki</w:t>
      </w:r>
      <w:r>
        <w:rPr/>
        <w:t>, qui est en France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/>
        <w:t>Masadaki defter bü</w:t>
      </w:r>
      <w:r>
        <w:rPr>
          <w:lang w:val="en-GB"/>
        </w:rPr>
        <w:t>yük.</w:t>
      </w:r>
    </w:p>
    <w:p>
      <w:pPr>
        <w:pStyle w:val="Dialogue"/>
        <w:numPr>
          <w:ilvl w:val="0"/>
          <w:numId w:val="13"/>
        </w:numPr>
        <w:rPr>
          <w:lang w:val="en-GB"/>
        </w:rPr>
      </w:pPr>
      <w:r>
        <w:rPr>
          <w:lang w:val="en-GB"/>
        </w:rPr>
        <w:t>İstasyondaki tren gürültülü.</w:t>
      </w:r>
    </w:p>
    <w:p>
      <w:pPr>
        <w:pStyle w:val="Commentaire"/>
        <w:keepNext w:val="true"/>
        <w:rPr/>
      </w:pPr>
      <w:r>
        <w:rPr>
          <w:rFonts w:eastAsia="Wingdings" w:cs="Wingdings" w:ascii="Wingdings" w:hAnsi="Wingdings"/>
        </w:rPr>
        <w:sym w:font="Wingdings" w:char="f0e8"/>
      </w:r>
      <w:r>
        <w:rPr/>
        <w:t xml:space="preserve"> </w:t>
      </w:r>
      <w:r>
        <w:rPr/>
        <w:t>les autres cas marqués par un suffixe sont respectivement :</w:t>
      </w:r>
    </w:p>
    <w:p>
      <w:pPr>
        <w:pStyle w:val="Commentaire"/>
        <w:keepNext w:val="true"/>
        <w:numPr>
          <w:ilvl w:val="0"/>
          <w:numId w:val="10"/>
        </w:numPr>
        <w:rPr/>
      </w:pPr>
      <w:r>
        <w:rPr/>
        <w:t>Cas dits « </w:t>
      </w:r>
      <w:r>
        <w:rPr>
          <w:i/>
        </w:rPr>
        <w:t>spatiaux</w:t>
      </w:r>
      <w:r>
        <w:rPr/>
        <w:t> » (outre le locatif) : la base nominale qui reçoit le suffixe est placée dans une relation directionnelle au sujet :</w:t>
      </w:r>
    </w:p>
    <w:p>
      <w:pPr>
        <w:pStyle w:val="Commentaire"/>
        <w:numPr>
          <w:ilvl w:val="0"/>
          <w:numId w:val="12"/>
        </w:numPr>
        <w:rPr>
          <w:b/>
        </w:rPr>
      </w:pPr>
      <w:r>
        <w:rPr/>
        <w:t>l’</w:t>
      </w:r>
      <w:r>
        <w:rPr>
          <w:b/>
          <w:i/>
        </w:rPr>
        <w:t>ablatif </w:t>
      </w:r>
      <w:r>
        <w:rPr>
          <w:b/>
        </w:rPr>
        <w:t>: -d</w:t>
      </w:r>
      <w:r>
        <w:rPr>
          <w:b/>
          <w:smallCaps/>
        </w:rPr>
        <w:t>a</w:t>
      </w:r>
      <w:r>
        <w:rPr>
          <w:b/>
        </w:rPr>
        <w:t>n</w:t>
      </w:r>
      <w:r>
        <w:rPr/>
        <w:t xml:space="preserve"> (venir de, approcher).</w:t>
      </w:r>
    </w:p>
    <w:p>
      <w:pPr>
        <w:pStyle w:val="Normal"/>
        <w:numPr>
          <w:ilvl w:val="1"/>
          <w:numId w:val="11"/>
        </w:numPr>
        <w:rPr>
          <w:b/>
          <w:lang w:val="de-DE"/>
        </w:rPr>
      </w:pPr>
      <w:r>
        <w:rPr>
          <w:i/>
          <w:lang w:val="de-DE"/>
        </w:rPr>
        <w:t>İstanbul’dan</w:t>
      </w:r>
      <w:r>
        <w:rPr>
          <w:lang w:val="de-DE"/>
        </w:rPr>
        <w:t>,</w:t>
      </w:r>
      <w:r>
        <w:rPr>
          <w:i/>
          <w:lang w:val="de-DE"/>
        </w:rPr>
        <w:t xml:space="preserve"> Paris’ten</w:t>
      </w:r>
    </w:p>
    <w:p>
      <w:pPr>
        <w:pStyle w:val="Normal"/>
        <w:numPr>
          <w:ilvl w:val="1"/>
          <w:numId w:val="11"/>
        </w:numPr>
        <w:rPr>
          <w:b/>
          <w:lang w:val="fr-FR"/>
        </w:rPr>
      </w:pPr>
      <w:r>
        <w:rPr>
          <w:i/>
          <w:lang w:val="fr-FR"/>
        </w:rPr>
        <w:t>hesap benden</w:t>
      </w:r>
      <w:r>
        <w:rPr>
          <w:lang w:val="fr-FR"/>
        </w:rPr>
        <w:t>, c’est pour moi (l’addition au restaurant)</w:t>
      </w:r>
    </w:p>
    <w:p>
      <w:pPr>
        <w:pStyle w:val="Commentaire"/>
        <w:numPr>
          <w:ilvl w:val="0"/>
          <w:numId w:val="12"/>
        </w:numPr>
        <w:rPr/>
      </w:pPr>
      <w:r>
        <w:rPr/>
        <w:t xml:space="preserve">le </w:t>
      </w:r>
      <w:r>
        <w:rPr>
          <w:b/>
          <w:i/>
        </w:rPr>
        <w:t>directif </w:t>
      </w:r>
      <w:r>
        <w:rPr>
          <w:b/>
        </w:rPr>
        <w:t xml:space="preserve">: </w:t>
      </w:r>
      <w:r>
        <w:rPr>
          <w:b/>
          <w:smallCaps/>
        </w:rPr>
        <w:t>-</w:t>
      </w:r>
      <w:r>
        <w:rPr>
          <w:b/>
        </w:rPr>
        <w:t>(y)</w:t>
      </w:r>
      <w:r>
        <w:rPr>
          <w:b/>
          <w:smallCaps/>
        </w:rPr>
        <w:t>a</w:t>
      </w:r>
      <w:r>
        <w:rPr/>
        <w:t xml:space="preserve"> (aller à, s’éloigner). </w:t>
      </w:r>
    </w:p>
    <w:p>
      <w:pPr>
        <w:pStyle w:val="Normal"/>
        <w:numPr>
          <w:ilvl w:val="1"/>
          <w:numId w:val="12"/>
        </w:numPr>
        <w:rPr>
          <w:lang w:val="fr-FR"/>
        </w:rPr>
      </w:pPr>
      <w:r>
        <w:rPr>
          <w:i/>
          <w:lang w:val="fr-FR"/>
        </w:rPr>
        <w:t>eve</w:t>
      </w:r>
      <w:r>
        <w:rPr>
          <w:lang w:val="fr-FR"/>
        </w:rPr>
        <w:t xml:space="preserve">, à (vers) la maison; </w:t>
      </w:r>
      <w:r>
        <w:rPr>
          <w:i/>
          <w:lang w:val="fr-FR"/>
        </w:rPr>
        <w:t>babaya</w:t>
      </w:r>
      <w:r>
        <w:rPr>
          <w:lang w:val="fr-FR"/>
        </w:rPr>
        <w:t>, vers le père</w:t>
      </w:r>
    </w:p>
    <w:p>
      <w:pPr>
        <w:pStyle w:val="Normal"/>
        <w:numPr>
          <w:ilvl w:val="1"/>
          <w:numId w:val="12"/>
        </w:numPr>
        <w:rPr>
          <w:b/>
          <w:lang w:val="fr-FR"/>
        </w:rPr>
      </w:pPr>
      <w:r>
        <w:rPr>
          <w:i/>
          <w:lang w:val="fr-FR"/>
        </w:rPr>
        <w:t>derse hoşgeldiniz!</w:t>
      </w:r>
      <w:r>
        <w:rPr>
          <w:lang w:val="fr-FR"/>
        </w:rPr>
        <w:t>, soyez le (la) bienvenu(e) au cours</w:t>
      </w:r>
    </w:p>
    <w:p>
      <w:pPr>
        <w:pStyle w:val="Normal"/>
        <w:spacing w:before="280" w:after="0"/>
        <w:ind w:left="1440" w:hanging="0"/>
        <w:rPr/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</w:t>
      </w:r>
      <w:r>
        <w:rPr>
          <w:lang w:val="tr-TR"/>
        </w:rPr>
        <w:t xml:space="preserve"> et 2</w:t>
      </w:r>
      <w:r>
        <w:rPr>
          <w:vertAlign w:val="superscript"/>
          <w:lang w:val="tr-TR"/>
        </w:rPr>
        <w:t>e</w:t>
      </w:r>
      <w:r>
        <w:rPr>
          <w:lang w:val="tr-TR"/>
        </w:rPr>
        <w:t xml:space="preserve"> pers. sg.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bana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sen &gt; sana</w:t>
      </w:r>
    </w:p>
    <w:p>
      <w:pPr>
        <w:pStyle w:val="Commentaire"/>
        <w:numPr>
          <w:ilvl w:val="0"/>
          <w:numId w:val="10"/>
        </w:numPr>
        <w:rPr/>
      </w:pPr>
      <w:r>
        <w:rPr/>
        <w:t xml:space="preserve">Cas </w:t>
      </w:r>
      <w:r>
        <w:rPr>
          <w:i/>
        </w:rPr>
        <w:t>grammaticaux</w:t>
      </w:r>
      <w:r>
        <w:rPr/>
        <w:t> :</w:t>
      </w:r>
    </w:p>
    <w:p>
      <w:pPr>
        <w:pStyle w:val="Commentaire"/>
        <w:numPr>
          <w:ilvl w:val="0"/>
          <w:numId w:val="3"/>
        </w:numPr>
        <w:rPr/>
      </w:pPr>
      <w:r>
        <w:rPr/>
        <w:t xml:space="preserve">le </w:t>
      </w:r>
      <w:r>
        <w:rPr>
          <w:b/>
          <w:i/>
        </w:rPr>
        <w:t>génitif</w:t>
      </w:r>
      <w:r>
        <w:rPr>
          <w:b/>
        </w:rPr>
        <w:t xml:space="preserve"> : </w:t>
      </w:r>
      <w:r>
        <w:rPr>
          <w:b/>
          <w:smallCaps/>
        </w:rPr>
        <w:t>-</w:t>
      </w:r>
      <w:r>
        <w:rPr>
          <w:b/>
        </w:rPr>
        <w:t>(n)</w:t>
      </w:r>
      <w:r>
        <w:rPr>
          <w:b/>
          <w:smallCaps/>
        </w:rPr>
        <w:t>i</w:t>
      </w:r>
      <w:r>
        <w:rPr>
          <w:b/>
        </w:rPr>
        <w:t>n</w:t>
      </w:r>
      <w:r>
        <w:rPr>
          <w:smallCaps/>
        </w:rPr>
        <w:t xml:space="preserve">, </w:t>
      </w:r>
      <w:r>
        <w:rPr/>
        <w:t xml:space="preserve">qui exprime la relation de complément </w:t>
      </w:r>
      <w:r>
        <w:rPr>
          <w:i/>
        </w:rPr>
        <w:t>défini</w:t>
      </w:r>
      <w:r>
        <w:rPr/>
        <w:t xml:space="preserve"> du nom</w:t>
      </w:r>
    </w:p>
    <w:p>
      <w:pPr>
        <w:pStyle w:val="Normal"/>
        <w:ind w:left="1440" w:hanging="0"/>
        <w:rPr>
          <w:lang w:val="tr-TR"/>
        </w:rPr>
      </w:pPr>
      <w:r>
        <w:rPr>
          <w:smallCaps/>
          <w:lang w:val="tr-TR"/>
        </w:rPr>
        <w:t>n.b.</w:t>
      </w:r>
      <w:r>
        <w:rPr>
          <w:lang w:val="tr-TR"/>
        </w:rPr>
        <w:t xml:space="preserve"> la déclinaison des pronoms personnels est irrégulière aux 1</w:t>
      </w:r>
      <w:r>
        <w:rPr>
          <w:vertAlign w:val="superscript"/>
          <w:lang w:val="tr-TR"/>
        </w:rPr>
        <w:t>ères</w:t>
      </w:r>
      <w:r>
        <w:rPr>
          <w:lang w:val="tr-TR"/>
        </w:rPr>
        <w:t xml:space="preserve"> pers. sg./pl. : 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ben &gt; benim</w:t>
      </w:r>
    </w:p>
    <w:p>
      <w:pPr>
        <w:pStyle w:val="Normal"/>
        <w:ind w:left="1440" w:hanging="0"/>
        <w:rPr>
          <w:lang w:val="tr-TR"/>
        </w:rPr>
      </w:pPr>
      <w:r>
        <w:rPr>
          <w:i/>
          <w:lang w:val="tr-TR"/>
        </w:rPr>
        <w:tab/>
        <w:t>biz &gt; bizim</w:t>
      </w:r>
    </w:p>
    <w:p>
      <w:pPr>
        <w:pStyle w:val="Commentaire"/>
        <w:numPr>
          <w:ilvl w:val="0"/>
          <w:numId w:val="3"/>
        </w:numPr>
        <w:rPr/>
      </w:pPr>
      <w:r>
        <w:rPr/>
        <w:t>l’</w:t>
      </w:r>
      <w:r>
        <w:rPr>
          <w:b/>
          <w:i/>
        </w:rPr>
        <w:t>accusatif</w:t>
      </w:r>
      <w:r>
        <w:rPr>
          <w:b/>
        </w:rPr>
        <w:t> : -(y)</w:t>
      </w:r>
      <w:r>
        <w:rPr>
          <w:b/>
          <w:smallCaps/>
        </w:rPr>
        <w:t>i</w:t>
      </w:r>
      <w:r>
        <w:rPr/>
        <w:t xml:space="preserve">, qui exprime la relation de complément </w:t>
      </w:r>
      <w:r>
        <w:rPr>
          <w:i/>
        </w:rPr>
        <w:t>défini</w:t>
      </w:r>
      <w:r>
        <w:rPr/>
        <w:t xml:space="preserve"> du verbe</w:t>
      </w:r>
    </w:p>
    <w:p>
      <w:pPr>
        <w:pStyle w:val="Commentaire"/>
        <w:rPr/>
      </w:pPr>
      <w:r>
        <w:rPr/>
        <w:t xml:space="preserve">N.B. : Au </w:t>
      </w:r>
      <w:r>
        <w:rPr>
          <w:b/>
          <w:i/>
        </w:rPr>
        <w:t>cas absolu</w:t>
      </w:r>
      <w:r>
        <w:rPr/>
        <w:t xml:space="preserve"> tout </w:t>
      </w:r>
      <w:r>
        <w:rPr>
          <w:i/>
        </w:rPr>
        <w:t>nom</w:t>
      </w:r>
      <w:r>
        <w:rPr/>
        <w:t xml:space="preserve"> turc est employé sans aucun suffixe de cas, sans que cela l’empêche néanmoins de remplir les fonctions grammaticales les plus variées :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sujet : </w:t>
      </w:r>
      <w:r>
        <w:rPr>
          <w:i/>
          <w:lang w:val="fr-FR"/>
        </w:rPr>
        <w:t>çocuk gülüyor</w:t>
      </w:r>
      <w:r>
        <w:rPr>
          <w:lang w:val="fr-FR"/>
        </w:rPr>
        <w:t xml:space="preserve"> (l’enfant rit)</w:t>
      </w:r>
    </w:p>
    <w:p>
      <w:pPr>
        <w:pStyle w:val="Normal"/>
        <w:numPr>
          <w:ilvl w:val="1"/>
          <w:numId w:val="7"/>
        </w:numPr>
        <w:ind w:left="1797" w:hanging="357"/>
        <w:rPr>
          <w:lang w:val="fr-FR"/>
        </w:rPr>
      </w:pPr>
      <w:r>
        <w:rPr>
          <w:lang w:val="fr-FR"/>
        </w:rPr>
        <w:t xml:space="preserve">complément du nom : </w:t>
      </w:r>
      <w:r>
        <w:rPr>
          <w:i/>
          <w:lang w:val="fr-FR"/>
        </w:rPr>
        <w:t xml:space="preserve">çocuk arabası </w:t>
      </w:r>
      <w:r>
        <w:rPr>
          <w:lang w:val="fr-FR"/>
        </w:rPr>
        <w:t>(voiture d’enfant)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d’objet direct : </w:t>
      </w:r>
      <w:r>
        <w:rPr>
          <w:i/>
          <w:lang w:val="fr-FR"/>
        </w:rPr>
        <w:t>bu kadın üç çocuk yetişiyor</w:t>
      </w:r>
      <w:r>
        <w:rPr>
          <w:lang w:val="fr-FR"/>
        </w:rPr>
        <w:t xml:space="preserve"> (cette femme élève trois enfants)</w:t>
      </w:r>
    </w:p>
    <w:p>
      <w:pPr>
        <w:pStyle w:val="Normal"/>
        <w:numPr>
          <w:ilvl w:val="1"/>
          <w:numId w:val="7"/>
        </w:numPr>
        <w:spacing w:before="0" w:after="0"/>
        <w:ind w:left="1797" w:hanging="357"/>
        <w:contextualSpacing/>
        <w:rPr>
          <w:lang w:val="fr-FR"/>
        </w:rPr>
      </w:pPr>
      <w:r>
        <w:rPr>
          <w:lang w:val="fr-FR"/>
        </w:rPr>
        <w:t xml:space="preserve">complément post-positionnel : </w:t>
      </w:r>
      <w:r>
        <w:rPr>
          <w:i/>
          <w:lang w:val="fr-FR"/>
        </w:rPr>
        <w:t xml:space="preserve">çocuk için </w:t>
      </w:r>
      <w:r>
        <w:rPr>
          <w:lang w:val="fr-FR"/>
        </w:rPr>
        <w:t xml:space="preserve">(pour les enfants), </w:t>
      </w:r>
      <w:r>
        <w:rPr>
          <w:i/>
          <w:lang w:val="fr-FR"/>
        </w:rPr>
        <w:t>çocuk gibi</w:t>
      </w:r>
      <w:r>
        <w:rPr>
          <w:lang w:val="fr-FR"/>
        </w:rPr>
        <w:t xml:space="preserve"> (comme un enfant), </w:t>
      </w:r>
      <w:r>
        <w:rPr>
          <w:i/>
          <w:lang w:val="fr-FR"/>
        </w:rPr>
        <w:t xml:space="preserve">çocuk ile </w:t>
      </w:r>
      <w:r>
        <w:rPr>
          <w:lang w:val="fr-FR"/>
        </w:rPr>
        <w:t>(avec l’enfant)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les suffixes de cas ne se cumulent pas ; ils prennent place après les suffixes de nombre et de personne (dans cet ordre, le cas échéant) ; quand le suffixe de cas s’ajoute à un suffixe de troisième personne, une </w:t>
      </w:r>
      <w:r>
        <w:rPr>
          <w:i/>
        </w:rPr>
        <w:t>consonne de liaison</w:t>
      </w:r>
      <w:r>
        <w:rPr/>
        <w:t xml:space="preserve"> « n » s’intercale entre les deux :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ev-im-de</w:t>
      </w:r>
      <w:r>
        <w:rPr/>
        <w:t xml:space="preserve">, dans ma maison ; </w:t>
      </w:r>
      <w:r>
        <w:rPr>
          <w:i/>
        </w:rPr>
        <w:t>ev-ler-de</w:t>
      </w:r>
      <w:r>
        <w:rPr/>
        <w:t xml:space="preserve">, dans les maisons ; </w:t>
      </w:r>
      <w:r>
        <w:rPr>
          <w:i/>
        </w:rPr>
        <w:t>ev-ler-im-de</w:t>
      </w:r>
      <w:r>
        <w:rPr/>
        <w:t>, dans mes maisons.</w:t>
      </w:r>
    </w:p>
    <w:p>
      <w:pPr>
        <w:pStyle w:val="Dialogue"/>
        <w:numPr>
          <w:ilvl w:val="0"/>
          <w:numId w:val="13"/>
        </w:numPr>
        <w:rPr/>
      </w:pPr>
      <w:r>
        <w:rPr>
          <w:i/>
        </w:rPr>
        <w:t>ev-i-n-de</w:t>
      </w:r>
      <w:r>
        <w:rPr/>
        <w:t xml:space="preserve">, dans sa maison [que rien sans contexte ne permet de distinguer de </w:t>
      </w:r>
      <w:r>
        <w:rPr>
          <w:i/>
        </w:rPr>
        <w:t>ev-in-de</w:t>
      </w:r>
      <w:r>
        <w:rPr/>
        <w:t xml:space="preserve">, dans ta maison] ; </w:t>
      </w:r>
      <w:r>
        <w:rPr>
          <w:i/>
        </w:rPr>
        <w:t>ev-leri-n-de</w:t>
      </w:r>
      <w:r>
        <w:rPr/>
        <w:t xml:space="preserve">, dans leur(s) maison(s) </w:t>
      </w:r>
      <w:r>
        <w:rPr>
          <w:i/>
        </w:rPr>
        <w:t>ou</w:t>
      </w:r>
      <w:r>
        <w:rPr/>
        <w:t xml:space="preserve"> dans ses maisons (car le cumul </w:t>
      </w:r>
      <w:r>
        <w:rPr>
          <w:i/>
        </w:rPr>
        <w:t>ev-ler-leri</w:t>
      </w:r>
      <w:r>
        <w:rPr/>
        <w:t xml:space="preserve"> n’est pas possible) [= </w:t>
      </w:r>
      <w:r>
        <w:rPr>
          <w:i/>
        </w:rPr>
        <w:t>ev-ler-in-de</w:t>
      </w:r>
      <w:r>
        <w:rPr/>
        <w:t>, dans tes maisons].</w:t>
      </w:r>
    </w:p>
    <w:p>
      <w:pPr>
        <w:pStyle w:val="Dialogue"/>
        <w:numPr>
          <w:ilvl w:val="0"/>
          <w:numId w:val="13"/>
        </w:numPr>
        <w:rPr/>
      </w:pPr>
      <w:r>
        <w:rPr/>
        <w:t xml:space="preserve">au directif la consonne de liaison « y » cède la place à « n » : on dit </w:t>
      </w:r>
      <w:r>
        <w:rPr>
          <w:i/>
        </w:rPr>
        <w:t>ev-i-n-e</w:t>
      </w:r>
      <w:r>
        <w:rPr/>
        <w:t>, vers sa maison [= </w:t>
      </w:r>
      <w:r>
        <w:rPr>
          <w:i/>
        </w:rPr>
        <w:t>evin-e</w:t>
      </w:r>
      <w:r>
        <w:rPr/>
        <w:t xml:space="preserve">, vers ta maison], et non </w:t>
      </w:r>
      <w:r>
        <w:rPr>
          <w:i/>
        </w:rPr>
        <w:t>eviye</w:t>
      </w:r>
      <w:r>
        <w:rPr/>
        <w:t>.</w:t>
      </w:r>
    </w:p>
    <w:p>
      <w:pPr>
        <w:pStyle w:val="Commentaire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/>
        <w:t xml:space="preserve">voisement (sonorisation) et dévoisement (assourdissement) : dans le cas d’un mot se terminant par une consonne sourde, la consonne initiale de certains suffixes s’assourdit. Ex. </w:t>
      </w:r>
      <w:r>
        <w:rPr>
          <w:i/>
        </w:rPr>
        <w:t>d</w:t>
      </w:r>
      <w:r>
        <w:rPr/>
        <w:t xml:space="preserve"> devient </w:t>
      </w:r>
      <w:r>
        <w:rPr>
          <w:i/>
        </w:rPr>
        <w:t>t</w:t>
      </w:r>
      <w:r>
        <w:rPr/>
        <w:t xml:space="preserve">, </w:t>
      </w:r>
      <w:r>
        <w:rPr>
          <w:i/>
        </w:rPr>
        <w:t>c</w:t>
      </w:r>
      <w:r>
        <w:rPr/>
        <w:t xml:space="preserve"> devient </w:t>
      </w:r>
      <w:r>
        <w:rPr>
          <w:i/>
        </w:rPr>
        <w:t>ç</w:t>
      </w:r>
      <w:r>
        <w:rPr/>
        <w:t xml:space="preserve">, etc. Phrase mnémotechnique : « Fe Paşa çok hasta ». </w:t>
      </w:r>
    </w:p>
    <w:p>
      <w:pPr>
        <w:pStyle w:val="Dialogue"/>
        <w:numPr>
          <w:ilvl w:val="0"/>
          <w:numId w:val="0"/>
        </w:numPr>
        <w:ind w:left="360" w:hanging="0"/>
        <w:rPr/>
      </w:pPr>
      <w:r>
        <w:rPr/>
        <w:t>Ex. locatif</w:t>
      </w:r>
      <w:r>
        <w:rPr>
          <w:i/>
        </w:rPr>
        <w:t xml:space="preserve"> bu hedefte </w:t>
      </w:r>
      <w:r>
        <w:rPr/>
        <w:t xml:space="preserve">(dans cette cible), </w:t>
      </w:r>
      <w:r>
        <w:rPr>
          <w:i/>
        </w:rPr>
        <w:t xml:space="preserve">bu amaçta </w:t>
      </w:r>
      <w:r>
        <w:rPr/>
        <w:t xml:space="preserve">(dans ce but), </w:t>
      </w:r>
      <w:r>
        <w:rPr>
          <w:i/>
        </w:rPr>
        <w:t xml:space="preserve">bu ahbapta </w:t>
      </w:r>
      <w:r>
        <w:rPr/>
        <w:t xml:space="preserve">(chez ce pote), </w:t>
      </w:r>
      <w:r>
        <w:rPr>
          <w:i/>
        </w:rPr>
        <w:t xml:space="preserve">bu arkadaşta </w:t>
      </w:r>
      <w:r>
        <w:rPr/>
        <w:t xml:space="preserve">(chez ce camarade), </w:t>
      </w:r>
      <w:r>
        <w:rPr>
          <w:i/>
        </w:rPr>
        <w:t>bu saatte</w:t>
      </w:r>
      <w:r>
        <w:rPr/>
        <w:t xml:space="preserve"> (à cette heure-ci) [exception à l’h.v.] ; suffixe d’activité </w:t>
      </w:r>
      <w:r>
        <w:rPr>
          <w:i/>
        </w:rPr>
        <w:t>-ci</w:t>
      </w:r>
      <w:r>
        <w:rPr/>
        <w:t xml:space="preserve"> : </w:t>
      </w:r>
      <w:r>
        <w:rPr>
          <w:i/>
        </w:rPr>
        <w:t>sütçü</w:t>
      </w:r>
      <w:r>
        <w:rPr/>
        <w:t xml:space="preserve"> (le laitier), </w:t>
      </w:r>
      <w:r>
        <w:rPr>
          <w:i/>
        </w:rPr>
        <w:t>topçu</w:t>
      </w:r>
      <w:r>
        <w:rPr/>
        <w:t xml:space="preserve"> (l’artilleur), </w:t>
      </w:r>
      <w:r>
        <w:rPr>
          <w:i/>
        </w:rPr>
        <w:t>tarihçi</w:t>
      </w:r>
      <w:r>
        <w:rPr/>
        <w:t xml:space="preserve"> (l’historien)</w:t>
      </w:r>
    </w:p>
    <w:p>
      <w:pPr>
        <w:pStyle w:val="Normal"/>
        <w:pBdr>
          <w:bottom w:val="single" w:sz="4" w:space="1" w:color="000000"/>
        </w:pBdr>
        <w:rPr>
          <w:lang w:val="fr-FR"/>
        </w:rPr>
      </w:pPr>
      <w:r>
        <w:rPr>
          <w:lang w:val="fr-FR"/>
        </w:rPr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Calibri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Üçüncü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1"/>
      <w:numFmt w:val="bullet"/>
      <w:lvlText w:val="—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8">
    <w:lvl w:ilvl="0">
      <w:start w:val="3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4"/>
      <w:numFmt w:val="bullet"/>
      <w:lvlText w:val="–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  <w:i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8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Times New Roman" w:hAnsi="Times New Roman" w:eastAsia="Times New Roman" w:cs="Times New Roman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Times New Roman" w:hAnsi="Times New Roman" w:cs="Times New Roman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2z4">
    <w:name w:val="WW8Num32z4"/>
    <w:qFormat/>
    <w:rPr>
      <w:rFonts w:ascii="Courier New" w:hAnsi="Courier New" w:cs="Courier New"/>
    </w:rPr>
  </w:style>
  <w:style w:type="character" w:styleId="WW8Num33z0">
    <w:name w:val="WW8Num33z0"/>
    <w:qFormat/>
    <w:rPr>
      <w:rFonts w:ascii="Times New Roman" w:hAnsi="Times New Roman" w:cs="Times New Roman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3">
    <w:name w:val="WW8Num46z3"/>
    <w:qFormat/>
    <w:rPr>
      <w:rFonts w:ascii="Symbol" w:hAnsi="Symbol" w:cs="Symbol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2">
    <w:name w:val="WW8Num48z2"/>
    <w:qFormat/>
    <w:rPr>
      <w:rFonts w:ascii="Times New Roman" w:hAnsi="Times New Roman" w:eastAsia="Times New Roman" w:cs="Times New Roman"/>
      <w:i w:val="false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Times New Roman" w:hAnsi="Times New Roman" w:eastAsia="Times New Roman" w:cs="Times New Roman"/>
    </w:rPr>
  </w:style>
  <w:style w:type="character" w:styleId="WW8Num49z1">
    <w:name w:val="WW8Num49z1"/>
    <w:qFormat/>
    <w:rPr>
      <w:rFonts w:ascii="Times New Roman" w:hAnsi="Times New Roman" w:cs="Times New Roman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49z4">
    <w:name w:val="WW8Num49z4"/>
    <w:qFormat/>
    <w:rPr>
      <w:rFonts w:ascii="Courier New" w:hAnsi="Courier New" w:cs="Courier New"/>
    </w:rPr>
  </w:style>
  <w:style w:type="character" w:styleId="WW8Num50z0">
    <w:name w:val="WW8Num50z0"/>
    <w:qFormat/>
    <w:rPr>
      <w:rFonts w:ascii="Wingdings" w:hAnsi="Wingdings" w:cs="Wingdings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1z0">
    <w:name w:val="WW8Num51z0"/>
    <w:qFormat/>
    <w:rPr>
      <w:rFonts w:ascii="Times New Roman" w:hAnsi="Times New Roman" w:cs="Times New Roman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2">
    <w:name w:val="WW8Num51z2"/>
    <w:qFormat/>
    <w:rPr>
      <w:rFonts w:ascii="Wingdings" w:hAnsi="Wingdings" w:cs="Wingdings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Wingdings" w:hAnsi="Wingdings" w:cs="Wingdings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Wingdings" w:hAnsi="Wingdings" w:cs="Wingdings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Courier New" w:hAnsi="Courier New" w:cs="Courier New"/>
    </w:rPr>
  </w:style>
  <w:style w:type="character" w:styleId="WW8Num54z2">
    <w:name w:val="WW8Num54z2"/>
    <w:qFormat/>
    <w:rPr>
      <w:rFonts w:ascii="Wingdings" w:hAnsi="Wingdings" w:cs="Wingdings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Wingdings" w:hAnsi="Wingdings" w:cs="Wingdings"/>
      <w:i w:val="false"/>
    </w:rPr>
  </w:style>
  <w:style w:type="character" w:styleId="WW8Num56z1">
    <w:name w:val="WW8Num56z1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/>
  </w:style>
  <w:style w:type="character" w:styleId="WW8Num58z0">
    <w:name w:val="WW8Num58z0"/>
    <w:qFormat/>
    <w:rPr>
      <w:rFonts w:ascii="Wingdings" w:hAnsi="Wingdings" w:cs="Wingdings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>
      <w:rFonts w:ascii="Wingdings" w:hAnsi="Wingdings" w:cs="Wingdings"/>
    </w:rPr>
  </w:style>
  <w:style w:type="character" w:styleId="WW8Num59z1">
    <w:name w:val="WW8Num59z1"/>
    <w:qFormat/>
    <w:rPr>
      <w:rFonts w:ascii="Courier New" w:hAnsi="Courier New" w:cs="Courier New"/>
    </w:rPr>
  </w:style>
  <w:style w:type="character" w:styleId="WW8Num59z3">
    <w:name w:val="WW8Num59z3"/>
    <w:qFormat/>
    <w:rPr>
      <w:rFonts w:ascii="Symbol" w:hAnsi="Symbol" w:cs="Symbol"/>
    </w:rPr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Times New Roman" w:hAnsi="Times New Roman" w:eastAsia="Times New Roman" w:cs="Times New Roman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2">
    <w:name w:val="WW8Num66z2"/>
    <w:qFormat/>
    <w:rPr>
      <w:rFonts w:ascii="Wingdings" w:hAnsi="Wingdings" w:cs="Wingdings"/>
    </w:rPr>
  </w:style>
  <w:style w:type="character" w:styleId="WW8Num66z3">
    <w:name w:val="WW8Num66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13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LibreOffice/7.5.7.1$Linux_X86_64 LibreOffice_project/50$Build-1</Application>
  <AppVersion>15.0000</AppVersion>
  <Pages>4</Pages>
  <Words>1165</Words>
  <Characters>5437</Characters>
  <CharactersWithSpaces>6420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2019-09-30T11:02:00Z</dcterms:created>
  <dc:creator>Marc</dc:creator>
  <dc:description/>
  <dc:language>fr-FR</dc:language>
  <cp:lastModifiedBy/>
  <cp:lastPrinted>2017-02-28T14:19:00Z</cp:lastPrinted>
  <dcterms:modified xsi:type="dcterms:W3CDTF">2023-10-10T10:03:14Z</dcterms:modified>
  <cp:revision>25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