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2"/>
        </w:numPr>
        <w:spacing w:before="240" w:after="480"/>
        <w:rPr/>
      </w:pPr>
      <w:r>
        <w:rPr/>
      </w:r>
    </w:p>
    <w:p>
      <w:pPr>
        <w:pStyle w:val="Heading3"/>
        <w:rPr/>
      </w:pPr>
      <w:r>
        <w:rPr/>
        <w:t>Alfabe</w:t>
      </w:r>
    </w:p>
    <w:p>
      <w:pPr>
        <w:pStyle w:val="Heading4"/>
        <w:spacing w:before="280" w:afterAutospacing="1"/>
        <w:rPr/>
      </w:pPr>
      <w:r>
        <w:rPr/>
        <w:t>Les mots que vous connaissiez déjà (sans le savoir)</w:t>
      </w:r>
    </w:p>
    <w:tbl>
      <w:tblPr>
        <w:tblW w:w="924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5301"/>
        <w:gridCol w:w="3944"/>
      </w:tblGrid>
      <w:tr>
        <w:trPr/>
        <w:tc>
          <w:tcPr>
            <w:tcW w:w="5301" w:type="dxa"/>
            <w:tcBorders/>
          </w:tcPr>
          <w:p>
            <w:pPr>
              <w:pStyle w:val="Vocabulaire"/>
              <w:widowControl w:val="false"/>
              <w:ind w:left="0" w:hanging="0"/>
              <w:rPr/>
            </w:pPr>
            <w:r>
              <w:rPr/>
              <w:t>taksi</w:t>
            </w:r>
          </w:p>
          <w:p>
            <w:pPr>
              <w:pStyle w:val="Vocabulaire"/>
              <w:widowControl w:val="false"/>
              <w:ind w:left="0" w:hanging="0"/>
              <w:rPr/>
            </w:pPr>
            <w:r>
              <w:rPr/>
              <w:t>gar (précédé d’un morphème qui indique le type de                   gare)</w:t>
            </w:r>
          </w:p>
          <w:p>
            <w:pPr>
              <w:pStyle w:val="Vocabulaire"/>
              <w:widowControl w:val="false"/>
              <w:ind w:left="0" w:hanging="0"/>
              <w:rPr>
                <w:i w:val="false"/>
                <w:i w:val="false"/>
              </w:rPr>
            </w:pPr>
            <w:r>
              <w:rPr/>
              <w:t>pazar (signifie marché et/ou dimanche)</w:t>
            </w:r>
          </w:p>
          <w:p>
            <w:pPr>
              <w:pStyle w:val="Vocabulaire"/>
              <w:widowControl w:val="false"/>
              <w:ind w:left="0" w:hanging="0"/>
              <w:rPr/>
            </w:pPr>
            <w:r>
              <w:rPr/>
              <w:t>spor</w:t>
            </w:r>
          </w:p>
          <w:p>
            <w:pPr>
              <w:pStyle w:val="Vocabulaire"/>
              <w:widowControl w:val="false"/>
              <w:ind w:left="0" w:hanging="0"/>
              <w:rPr/>
            </w:pPr>
            <w:r>
              <w:rPr/>
              <w:t>telefon</w:t>
            </w:r>
          </w:p>
          <w:p>
            <w:pPr>
              <w:pStyle w:val="Vocabulaire"/>
              <w:widowControl w:val="false"/>
              <w:ind w:left="0" w:hanging="0"/>
              <w:rPr>
                <w:i w:val="false"/>
                <w:i w:val="false"/>
              </w:rPr>
            </w:pPr>
            <w:r>
              <w:rPr/>
              <w:t>fotokopi</w:t>
            </w:r>
          </w:p>
          <w:p>
            <w:pPr>
              <w:pStyle w:val="Vocabulaire"/>
              <w:widowControl w:val="false"/>
              <w:ind w:left="0" w:hanging="0"/>
              <w:rPr/>
            </w:pPr>
            <w:r>
              <w:rPr/>
              <w:t>ferforje</w:t>
            </w:r>
          </w:p>
          <w:p>
            <w:pPr>
              <w:pStyle w:val="Vocabulaire"/>
              <w:widowControl w:val="false"/>
              <w:ind w:left="0" w:hanging="0"/>
              <w:rPr/>
            </w:pPr>
            <w:r>
              <w:rPr/>
              <w:t>mikrop</w:t>
            </w:r>
          </w:p>
          <w:p>
            <w:pPr>
              <w:pStyle w:val="Vocabulaire"/>
              <w:widowControl w:val="false"/>
              <w:ind w:left="0" w:hanging="0"/>
              <w:rPr/>
            </w:pPr>
            <w:r>
              <w:rPr/>
              <w:t>deterjan</w:t>
            </w:r>
          </w:p>
          <w:p>
            <w:pPr>
              <w:pStyle w:val="Vocabulaire"/>
              <w:widowControl w:val="false"/>
              <w:ind w:left="0" w:hanging="0"/>
              <w:rPr>
                <w:i w:val="false"/>
                <w:i w:val="false"/>
              </w:rPr>
            </w:pPr>
            <w:r>
              <w:rPr/>
              <w:t>feribot</w:t>
            </w:r>
          </w:p>
          <w:p>
            <w:pPr>
              <w:pStyle w:val="Vocabulaire"/>
              <w:widowControl w:val="false"/>
              <w:ind w:left="0" w:hanging="0"/>
              <w:rPr/>
            </w:pPr>
            <w:r>
              <w:rPr/>
              <w:t>istatistik</w:t>
            </w:r>
          </w:p>
          <w:p>
            <w:pPr>
              <w:pStyle w:val="Vocabulaire"/>
              <w:widowControl w:val="false"/>
              <w:ind w:left="0" w:hanging="0"/>
              <w:rPr/>
            </w:pPr>
            <w:r>
              <w:rPr/>
              <w:t>kontaklens</w:t>
            </w:r>
          </w:p>
          <w:p>
            <w:pPr>
              <w:pStyle w:val="Vocabulaire"/>
              <w:widowControl w:val="false"/>
              <w:ind w:left="0" w:hanging="0"/>
              <w:rPr>
                <w:i w:val="false"/>
                <w:i w:val="false"/>
              </w:rPr>
            </w:pPr>
            <w:r>
              <w:rPr/>
              <w:t>istasyon (gare, presque pareil que gar)</w:t>
            </w:r>
          </w:p>
          <w:p>
            <w:pPr>
              <w:pStyle w:val="Vocabulaire"/>
              <w:widowControl w:val="false"/>
              <w:ind w:left="0" w:hanging="0"/>
              <w:rPr/>
            </w:pPr>
            <w:r>
              <w:rPr/>
              <w:t>tren</w:t>
              <w:tab/>
              <w:tab/>
              <w:tab/>
            </w:r>
          </w:p>
          <w:p>
            <w:pPr>
              <w:pStyle w:val="Vocabulaire"/>
              <w:widowControl w:val="false"/>
              <w:ind w:left="0" w:hanging="0"/>
              <w:rPr>
                <w:i w:val="false"/>
                <w:i w:val="false"/>
              </w:rPr>
            </w:pPr>
            <w:r>
              <w:rPr/>
              <w:t>pantolon</w:t>
              <w:tab/>
              <w:tab/>
            </w:r>
          </w:p>
          <w:p>
            <w:pPr>
              <w:pStyle w:val="Vocabulaire"/>
              <w:widowControl w:val="false"/>
              <w:ind w:left="0" w:hanging="0"/>
              <w:rPr>
                <w:i w:val="false"/>
                <w:i w:val="false"/>
              </w:rPr>
            </w:pPr>
            <w:r>
              <w:rPr/>
              <w:t>lamba</w:t>
            </w:r>
            <w:r>
              <w:rPr>
                <w:i w:val="false"/>
              </w:rPr>
              <w:tab/>
            </w:r>
          </w:p>
          <w:p>
            <w:pPr>
              <w:pStyle w:val="Vocabulaire"/>
              <w:widowControl w:val="false"/>
              <w:ind w:left="0" w:hanging="0"/>
              <w:rPr>
                <w:i w:val="false"/>
                <w:i w:val="false"/>
              </w:rPr>
            </w:pPr>
            <w:r>
              <w:rPr/>
              <w:t>banyo (bain / salle de bain)</w:t>
            </w:r>
          </w:p>
          <w:p>
            <w:pPr>
              <w:pStyle w:val="Vocabulaire"/>
              <w:widowControl w:val="false"/>
              <w:ind w:left="0" w:hanging="0"/>
              <w:rPr/>
            </w:pPr>
            <w:r>
              <w:rPr/>
              <w:t>klima (climatisation et non pas météo)</w:t>
            </w:r>
          </w:p>
          <w:p>
            <w:pPr>
              <w:pStyle w:val="Vocabulaire"/>
              <w:widowControl w:val="false"/>
              <w:ind w:left="0" w:hanging="0"/>
              <w:rPr/>
            </w:pPr>
            <w:r>
              <w:rPr/>
              <w:t>kürdan (accessoire très important en Turquie)</w:t>
            </w:r>
          </w:p>
          <w:p>
            <w:pPr>
              <w:pStyle w:val="Vocabulaire"/>
              <w:widowControl w:val="false"/>
              <w:ind w:left="0" w:hanging="0"/>
              <w:rPr>
                <w:i w:val="false"/>
                <w:i w:val="false"/>
              </w:rPr>
            </w:pPr>
            <w:r>
              <w:rPr/>
              <w:t>ekipman</w:t>
            </w:r>
          </w:p>
          <w:p>
            <w:pPr>
              <w:pStyle w:val="Vocabulaire"/>
              <w:widowControl w:val="false"/>
              <w:ind w:left="0" w:hanging="0"/>
              <w:rPr/>
            </w:pPr>
            <w:r>
              <w:rPr/>
              <w:t>otomatikman</w:t>
            </w:r>
          </w:p>
          <w:p>
            <w:pPr>
              <w:pStyle w:val="Normal"/>
              <w:widowControl w:val="false"/>
              <w:rPr>
                <w:i/>
                <w:i/>
                <w:lang w:val="de-DE"/>
              </w:rPr>
            </w:pPr>
            <w:r>
              <w:rPr>
                <w:i/>
                <w:lang w:val="de-DE"/>
              </w:rPr>
              <w:t>mayo</w:t>
            </w:r>
          </w:p>
        </w:tc>
        <w:tc>
          <w:tcPr>
            <w:tcW w:w="3944" w:type="dxa"/>
            <w:tcBorders/>
          </w:tcPr>
          <w:p>
            <w:pPr>
              <w:pStyle w:val="Vocabulaire"/>
              <w:widowControl w:val="false"/>
              <w:ind w:left="0" w:hanging="0"/>
              <w:rPr>
                <w:i w:val="false"/>
                <w:i w:val="false"/>
              </w:rPr>
            </w:pPr>
            <w:r>
              <w:rPr/>
              <w:t>okul (école)</w:t>
            </w:r>
            <w:r>
              <w:rPr>
                <w:i w:val="false"/>
              </w:rPr>
              <w:tab/>
              <w:tab/>
            </w:r>
          </w:p>
          <w:p>
            <w:pPr>
              <w:pStyle w:val="Vocabulaire"/>
              <w:widowControl w:val="false"/>
              <w:ind w:left="0" w:hanging="0"/>
              <w:rPr/>
            </w:pPr>
            <w:r>
              <w:rPr/>
              <w:t xml:space="preserve">tuvalet (les toilettes / la toilette ptet) </w:t>
            </w:r>
          </w:p>
          <w:p>
            <w:pPr>
              <w:pStyle w:val="Vocabulaire"/>
              <w:widowControl w:val="false"/>
              <w:ind w:left="0" w:hanging="0"/>
              <w:rPr/>
            </w:pPr>
            <w:r>
              <w:rPr/>
              <w:t>tekstil</w:t>
            </w:r>
          </w:p>
          <w:p>
            <w:pPr>
              <w:pStyle w:val="Vocabulaire"/>
              <w:widowControl w:val="false"/>
              <w:ind w:left="0" w:hanging="0"/>
              <w:rPr/>
            </w:pPr>
            <w:r>
              <w:rPr/>
              <w:t>otobüs</w:t>
            </w:r>
          </w:p>
          <w:p>
            <w:pPr>
              <w:pStyle w:val="Vocabulaire"/>
              <w:widowControl w:val="false"/>
              <w:ind w:left="0" w:hanging="0"/>
              <w:rPr/>
            </w:pPr>
            <w:r>
              <w:rPr/>
              <w:t>üniversite</w:t>
            </w:r>
          </w:p>
          <w:p>
            <w:pPr>
              <w:pStyle w:val="Vocabulaire"/>
              <w:widowControl w:val="false"/>
              <w:ind w:left="0" w:hanging="0"/>
              <w:rPr/>
            </w:pPr>
            <w:r>
              <w:rPr/>
              <w:t>bisküvi</w:t>
            </w:r>
          </w:p>
          <w:p>
            <w:pPr>
              <w:pStyle w:val="Vocabulaire"/>
              <w:widowControl w:val="false"/>
              <w:ind w:left="0" w:hanging="0"/>
              <w:rPr/>
            </w:pPr>
            <w:r>
              <w:rPr/>
              <w:t>kuaför</w:t>
            </w:r>
          </w:p>
          <w:p>
            <w:pPr>
              <w:pStyle w:val="Vocabulaire"/>
              <w:widowControl w:val="false"/>
              <w:ind w:left="0" w:hanging="0"/>
              <w:rPr/>
            </w:pPr>
            <w:r>
              <w:rPr/>
              <w:t>asansör</w:t>
            </w:r>
          </w:p>
          <w:p>
            <w:pPr>
              <w:pStyle w:val="Vocabulaire"/>
              <w:widowControl w:val="false"/>
              <w:ind w:left="0" w:hanging="0"/>
              <w:rPr>
                <w:i w:val="false"/>
                <w:i w:val="false"/>
              </w:rPr>
            </w:pPr>
            <w:r>
              <w:rPr/>
              <w:t>klasör</w:t>
            </w:r>
          </w:p>
          <w:p>
            <w:pPr>
              <w:pStyle w:val="Vocabulaire"/>
              <w:widowControl w:val="false"/>
              <w:ind w:left="0" w:hanging="0"/>
              <w:rPr/>
            </w:pPr>
            <w:r>
              <w:rPr/>
              <w:t>mösyö</w:t>
            </w:r>
          </w:p>
          <w:p>
            <w:pPr>
              <w:pStyle w:val="Vocabulaire"/>
              <w:widowControl w:val="false"/>
              <w:ind w:left="0" w:hanging="0"/>
              <w:rPr/>
            </w:pPr>
            <w:r>
              <w:rPr/>
              <w:t>banliyö</w:t>
            </w:r>
          </w:p>
          <w:p>
            <w:pPr>
              <w:pStyle w:val="Vocabulaire"/>
              <w:widowControl w:val="false"/>
              <w:ind w:left="0" w:hanging="0"/>
              <w:rPr>
                <w:i w:val="false"/>
                <w:i w:val="false"/>
              </w:rPr>
            </w:pPr>
            <w:r>
              <w:rPr/>
              <w:t>fiş (prise électrique / facture)</w:t>
            </w:r>
          </w:p>
          <w:p>
            <w:pPr>
              <w:pStyle w:val="Vocabulaire"/>
              <w:widowControl w:val="false"/>
              <w:ind w:left="0" w:hanging="0"/>
              <w:rPr/>
            </w:pPr>
            <w:r>
              <w:rPr/>
              <w:t>afiş</w:t>
            </w:r>
          </w:p>
          <w:p>
            <w:pPr>
              <w:pStyle w:val="Vocabulaire"/>
              <w:widowControl w:val="false"/>
              <w:ind w:left="0" w:hanging="0"/>
              <w:rPr/>
            </w:pPr>
            <w:r>
              <w:rPr/>
              <w:t>tişört</w:t>
            </w:r>
          </w:p>
          <w:p>
            <w:pPr>
              <w:pStyle w:val="Vocabulaire"/>
              <w:widowControl w:val="false"/>
              <w:ind w:left="0" w:hanging="0"/>
              <w:rPr>
                <w:i w:val="false"/>
                <w:i w:val="false"/>
              </w:rPr>
            </w:pPr>
            <w:r>
              <w:rPr/>
              <w:t>şömendöfer</w:t>
            </w:r>
            <w:r>
              <w:rPr>
                <w:i w:val="false"/>
              </w:rPr>
              <w:tab/>
              <w:t xml:space="preserve">[vx.] </w:t>
            </w:r>
          </w:p>
          <w:p>
            <w:pPr>
              <w:pStyle w:val="Vocabulaire"/>
              <w:widowControl w:val="false"/>
              <w:ind w:left="0" w:hanging="0"/>
              <w:rPr/>
            </w:pPr>
            <w:r>
              <w:rPr/>
              <w:t>şike</w:t>
            </w:r>
          </w:p>
          <w:p>
            <w:pPr>
              <w:pStyle w:val="Vocabulaire"/>
              <w:widowControl w:val="false"/>
              <w:ind w:left="0" w:hanging="0"/>
              <w:rPr/>
            </w:pPr>
            <w:r>
              <w:rPr/>
              <w:t>şoke</w:t>
            </w:r>
          </w:p>
          <w:p>
            <w:pPr>
              <w:pStyle w:val="Vocabulaire"/>
              <w:widowControl w:val="false"/>
              <w:ind w:left="0" w:hanging="0"/>
              <w:rPr/>
            </w:pPr>
            <w:r>
              <w:rPr/>
              <w:t>maç</w:t>
            </w:r>
          </w:p>
          <w:p>
            <w:pPr>
              <w:pStyle w:val="Vocabulaire"/>
              <w:widowControl w:val="false"/>
              <w:ind w:left="0" w:hanging="0"/>
              <w:rPr>
                <w:i w:val="false"/>
                <w:i w:val="false"/>
              </w:rPr>
            </w:pPr>
            <w:r>
              <w:rPr/>
              <w:t>ofsayt (hors-jeu/off-side)</w:t>
            </w:r>
            <w:r>
              <w:rPr>
                <w:i w:val="false"/>
              </w:rPr>
              <w:tab/>
            </w:r>
          </w:p>
          <w:p>
            <w:pPr>
              <w:pStyle w:val="Vocabulaire"/>
              <w:widowControl w:val="false"/>
              <w:ind w:left="0" w:hanging="0"/>
              <w:rPr/>
            </w:pPr>
            <w:r>
              <w:rPr/>
              <w:t>gofret</w:t>
            </w:r>
          </w:p>
          <w:p>
            <w:pPr>
              <w:pStyle w:val="Vocabulaire"/>
              <w:widowControl w:val="false"/>
              <w:ind w:left="0" w:hanging="0"/>
              <w:rPr/>
            </w:pPr>
            <w:r>
              <w:rPr/>
              <w:t>fotoğraf</w:t>
            </w:r>
          </w:p>
          <w:p>
            <w:pPr>
              <w:pStyle w:val="Normal"/>
              <w:widowControl w:val="false"/>
              <w:rPr>
                <w:i/>
                <w:i/>
                <w:lang w:val="tr-TR"/>
              </w:rPr>
            </w:pPr>
            <w:r>
              <w:rPr>
                <w:i/>
                <w:lang w:val="tr-TR"/>
              </w:rPr>
              <w:t>coğrafya (géographie)</w:t>
            </w:r>
          </w:p>
          <w:p>
            <w:pPr>
              <w:pStyle w:val="Normal"/>
              <w:widowControl w:val="false"/>
              <w:rPr>
                <w:i/>
                <w:i/>
                <w:lang w:val="tr-TR"/>
              </w:rPr>
            </w:pPr>
            <w:r>
              <w:rPr>
                <w:i/>
                <w:lang w:val="tr-TR"/>
              </w:rPr>
              <w:t>tüyo (tuyau argotique, information)</w:t>
            </w:r>
          </w:p>
        </w:tc>
      </w:tr>
      <w:tr>
        <w:trPr/>
        <w:tc>
          <w:tcPr>
            <w:tcW w:w="5301" w:type="dxa"/>
            <w:tcBorders/>
          </w:tcPr>
          <w:p>
            <w:pPr>
              <w:pStyle w:val="Vocabulaire"/>
              <w:widowControl w:val="false"/>
              <w:ind w:left="0" w:hanging="0"/>
              <w:rPr/>
            </w:pPr>
            <w:r>
              <w:rPr/>
            </w:r>
          </w:p>
        </w:tc>
        <w:tc>
          <w:tcPr>
            <w:tcW w:w="3944" w:type="dxa"/>
            <w:tcBorders/>
          </w:tcPr>
          <w:p>
            <w:pPr>
              <w:pStyle w:val="Vocabulaire"/>
              <w:widowControl w:val="false"/>
              <w:ind w:left="0" w:hanging="0"/>
              <w:rPr/>
            </w:pPr>
            <w:r>
              <w:rPr/>
            </w:r>
          </w:p>
        </w:tc>
      </w:tr>
    </w:tbl>
    <w:p>
      <w:pPr>
        <w:pStyle w:val="Normal"/>
        <w:rPr>
          <w:lang w:val="tr-TR"/>
        </w:rPr>
      </w:pPr>
      <w:r>
        <w:rPr>
          <w:lang w:val="tr-TR"/>
        </w:rPr>
      </w:r>
    </w:p>
    <w:p>
      <w:pPr>
        <w:pStyle w:val="Heading4"/>
        <w:spacing w:before="280" w:after="0"/>
        <w:rPr>
          <w:lang w:val="tr-TR"/>
        </w:rPr>
      </w:pPr>
      <w:r>
        <w:rPr>
          <w:lang w:val="tr-TR"/>
        </w:rPr>
        <w:t>Sesli ve sessiz harfler (Voyelles et consonnes)</w:t>
      </w:r>
    </w:p>
    <w:p>
      <w:pPr>
        <w:pStyle w:val="Annotationtext"/>
        <w:rPr/>
      </w:pPr>
      <w:r>
        <w:rPr>
          <w:rFonts w:eastAsia="Symbol" w:cs="Symbol" w:ascii="Symbol" w:hAnsi="Symbol"/>
        </w:rPr>
        <w:sym w:font="Symbol" w:char="f0ae"/>
      </w:r>
      <w:r>
        <w:rPr/>
        <w:t xml:space="preserve"> </w:t>
      </w:r>
      <w:r>
        <w:rPr/>
        <w:t xml:space="preserve">Accentuation : l’accent tonique porte généralement sur la dernière syllabe du mot, sauf suffixe ou particule </w:t>
      </w:r>
      <w:r>
        <w:rPr>
          <w:i/>
        </w:rPr>
        <w:t>enclitique</w:t>
      </w:r>
      <w:r>
        <w:rPr/>
        <w:t xml:space="preserve"> qui déplace l’accent sur la syllabe précédente.</w:t>
      </w:r>
    </w:p>
    <w:p>
      <w:pPr>
        <w:pStyle w:val="Annotationtext"/>
        <w:rPr>
          <w:i/>
          <w:i/>
          <w:color w:val="BFBFBF"/>
        </w:rPr>
      </w:pPr>
      <w:r>
        <w:rPr>
          <w:rFonts w:eastAsia="Symbol" w:cs="Symbol" w:ascii="Symbol" w:hAnsi="Symbol"/>
        </w:rPr>
        <w:sym w:font="Symbol" w:char="f0ae"/>
      </w:r>
      <w:r>
        <w:rPr/>
        <w:t xml:space="preserve"> </w:t>
      </w:r>
      <w:r>
        <w:rPr/>
        <w:t xml:space="preserve">29 lettres dont 8 voyelles – dressez la liste (consonnes en é et non e, ex : bé, shé, etc…) : </w:t>
      </w:r>
      <w:r>
        <w:rPr>
          <w:i/>
          <w:color w:val="BFBFBF"/>
        </w:rPr>
        <w:t>abcçdefgğhıijklmnoöprsştuüvyz</w:t>
      </w:r>
    </w:p>
    <w:p>
      <w:pPr>
        <w:pStyle w:val="Annotationtext"/>
        <w:rPr/>
      </w:pPr>
      <w:r>
        <w:rPr>
          <w:rFonts w:eastAsia="Symbol" w:cs="Symbol" w:ascii="Symbol" w:hAnsi="Symbol"/>
        </w:rPr>
        <w:sym w:font="Symbol" w:char="f0ae"/>
      </w:r>
      <w:r>
        <w:rPr/>
        <w:t xml:space="preserve"> </w:t>
      </w:r>
      <w:r>
        <w:rPr/>
        <w:t>Lettres singulières : ç (tch), ğ (g doux, effacé), ı (eu), o (au), ö (eu), s (sé), ş (ché), u (ou), ü (u)</w:t>
      </w:r>
    </w:p>
    <w:p>
      <w:pPr>
        <w:pStyle w:val="Annotationtext"/>
        <w:numPr>
          <w:ilvl w:val="0"/>
          <w:numId w:val="6"/>
        </w:numPr>
        <w:rPr/>
      </w:pPr>
      <w:r>
        <w:rPr/>
        <w:t>Orthographe : attention à la notation des lettres à signes diacritiques, surtout pour les majuscules.</w:t>
      </w:r>
    </w:p>
    <w:p>
      <w:pPr>
        <w:pStyle w:val="Annotationtext"/>
        <w:rPr/>
      </w:pPr>
      <w:r>
        <w:rPr>
          <w:rFonts w:eastAsia="Symbol" w:cs="Symbol" w:ascii="Symbol" w:hAnsi="Symbol"/>
        </w:rPr>
        <w:sym w:font="Symbol" w:char="f0ae"/>
      </w:r>
      <w:r>
        <w:rPr/>
        <w:t xml:space="preserve"> </w:t>
      </w:r>
      <w:r>
        <w:rPr/>
        <w:t>Comportement des consonnes :</w:t>
      </w:r>
    </w:p>
    <w:p>
      <w:pPr>
        <w:pStyle w:val="Annotationtext"/>
        <w:numPr>
          <w:ilvl w:val="0"/>
          <w:numId w:val="6"/>
        </w:numPr>
        <w:rPr/>
      </w:pPr>
      <w:r>
        <w:rPr/>
        <w:t xml:space="preserve">Le </w:t>
      </w:r>
      <w:r>
        <w:rPr>
          <w:i/>
        </w:rPr>
        <w:t>l</w:t>
      </w:r>
      <w:r>
        <w:rPr/>
        <w:t xml:space="preserve"> est généralement « plat » (comme en français) mais devient « creux » (langue repliée vers l’arrière du palais) devant ou après </w:t>
      </w:r>
      <w:r>
        <w:rPr>
          <w:i/>
        </w:rPr>
        <w:t>a</w:t>
      </w:r>
      <w:r>
        <w:rPr/>
        <w:t xml:space="preserve">, </w:t>
      </w:r>
      <w:r>
        <w:rPr>
          <w:i/>
        </w:rPr>
        <w:t>ı</w:t>
      </w:r>
      <w:r>
        <w:rPr/>
        <w:t xml:space="preserve">, </w:t>
      </w:r>
      <w:r>
        <w:rPr>
          <w:i/>
        </w:rPr>
        <w:t>o</w:t>
      </w:r>
      <w:r>
        <w:rPr/>
        <w:t xml:space="preserve">, </w:t>
      </w:r>
      <w:r>
        <w:rPr>
          <w:i/>
        </w:rPr>
        <w:t>u</w:t>
      </w:r>
      <w:r>
        <w:rPr/>
        <w:t>.</w:t>
      </w:r>
    </w:p>
    <w:p>
      <w:pPr>
        <w:pStyle w:val="Annotationtext"/>
        <w:numPr>
          <w:ilvl w:val="0"/>
          <w:numId w:val="6"/>
        </w:numPr>
        <w:rPr/>
      </w:pPr>
      <w:r>
        <w:rPr/>
        <w:t>Le doublement consonantique est toujours prononcé (</w:t>
      </w:r>
      <w:r>
        <w:rPr>
          <w:i/>
        </w:rPr>
        <w:t>eli / elli</w:t>
      </w:r>
      <w:r>
        <w:rPr/>
        <w:t>)</w:t>
      </w:r>
    </w:p>
    <w:p>
      <w:pPr>
        <w:pStyle w:val="Annotationtext"/>
        <w:numPr>
          <w:ilvl w:val="0"/>
          <w:numId w:val="6"/>
        </w:numPr>
        <w:rPr/>
      </w:pPr>
      <w:r>
        <w:rPr/>
        <w:t>Alphabets arabe et latin…</w:t>
        <w:br/>
        <w:t xml:space="preserve">Ex. lettre </w:t>
      </w:r>
      <w:r>
        <w:rPr>
          <w:i/>
        </w:rPr>
        <w:t>k</w:t>
      </w:r>
      <w:r>
        <w:rPr/>
        <w:t xml:space="preserve"> qui « représente » aussi bien le </w:t>
      </w:r>
      <w:r>
        <w:rPr>
          <w:i/>
        </w:rPr>
        <w:t>kef</w:t>
      </w:r>
      <w:r>
        <w:rPr/>
        <w:t xml:space="preserve"> (palatal ou antérieur) que le </w:t>
      </w:r>
      <w:r>
        <w:rPr>
          <w:i/>
        </w:rPr>
        <w:t>qaf</w:t>
      </w:r>
      <w:r>
        <w:rPr/>
        <w:t xml:space="preserve"> (vélaire ou postérieur). Signalons-le simplement ici pour remarquer, par anticipation, qu’en turc ce « zonage » phonétique a des conséquences : lorsqu’on a le choix (ce qui arrive souvent) on s’arrange pour ne pas avoir à enchaîner une palatale et une vélaire.</w:t>
      </w:r>
    </w:p>
    <w:p>
      <w:pPr>
        <w:pStyle w:val="Annotationtext"/>
        <w:numPr>
          <w:ilvl w:val="0"/>
          <w:numId w:val="6"/>
        </w:numPr>
        <w:rPr/>
      </w:pPr>
      <w:r>
        <w:rPr/>
        <w:t xml:space="preserve">Assourdissement (dévoisement) / sonorisation (voisement) des consonnes finales : </w:t>
        <w:br/>
        <w:t xml:space="preserve">b, d, g et c </w:t>
      </w:r>
      <w:r>
        <w:rPr>
          <w:rFonts w:eastAsia="Symbol" w:cs="Symbol" w:ascii="Symbol" w:hAnsi="Symbol"/>
        </w:rPr>
        <w:sym w:font="Symbol" w:char="f0ab"/>
      </w:r>
      <w:r>
        <w:rPr/>
        <w:t xml:space="preserve"> p, t, k et ç. </w:t>
        <w:br/>
        <w:t xml:space="preserve">Ex. </w:t>
      </w:r>
      <w:r>
        <w:rPr>
          <w:i/>
        </w:rPr>
        <w:t>kitap</w:t>
      </w:r>
      <w:r>
        <w:rPr/>
        <w:t xml:space="preserve"> se disait auparavant </w:t>
      </w:r>
      <w:r>
        <w:rPr>
          <w:i/>
        </w:rPr>
        <w:t>kitab</w:t>
      </w:r>
      <w:r>
        <w:rPr/>
        <w:t xml:space="preserve"> (en arabe) ; </w:t>
      </w:r>
      <w:r>
        <w:rPr>
          <w:i/>
        </w:rPr>
        <w:t>mikrop</w:t>
      </w:r>
      <w:r>
        <w:rPr/>
        <w:t xml:space="preserve"> pour </w:t>
      </w:r>
      <w:r>
        <w:rPr>
          <w:i/>
        </w:rPr>
        <w:t>mikrob</w:t>
      </w:r>
      <w:r>
        <w:rPr/>
        <w:t xml:space="preserve">, </w:t>
      </w:r>
      <w:r>
        <w:rPr>
          <w:i/>
        </w:rPr>
        <w:t>metot</w:t>
      </w:r>
      <w:r>
        <w:rPr/>
        <w:t xml:space="preserve"> pour </w:t>
      </w:r>
      <w:r>
        <w:rPr>
          <w:i/>
        </w:rPr>
        <w:t>metod</w:t>
      </w:r>
      <w:r>
        <w:rPr/>
        <w:t>. (Une consonne finale sourde redevient sonore lorsqu’une voyelle lui est suffixée. Or la suffixation est importante en turc, c’est la raison pour laquelle il est important d’avoir connaissance de cette transformation.)</w:t>
      </w:r>
    </w:p>
    <w:p>
      <w:pPr>
        <w:pStyle w:val="Annotationtext"/>
        <w:rPr/>
      </w:pPr>
      <w:r>
        <w:rPr>
          <w:rFonts w:eastAsia="Symbol" w:cs="Symbol" w:ascii="Symbol" w:hAnsi="Symbol"/>
        </w:rPr>
        <w:sym w:font="Symbol" w:char="f0ae"/>
      </w:r>
      <w:r>
        <w:rPr/>
        <w:t xml:space="preserve"> </w:t>
      </w:r>
      <w:r>
        <w:rPr/>
        <w:t>Phonèmes particuliers :</w:t>
      </w:r>
    </w:p>
    <w:p>
      <w:pPr>
        <w:pStyle w:val="Annotationtext"/>
        <w:numPr>
          <w:ilvl w:val="0"/>
          <w:numId w:val="6"/>
        </w:numPr>
        <w:rPr/>
      </w:pPr>
      <w:r>
        <w:rPr>
          <w:i/>
        </w:rPr>
        <w:t>ğ</w:t>
      </w:r>
      <w:r>
        <w:rPr/>
        <w:t xml:space="preserve"> est « doux » (</w:t>
      </w:r>
      <w:r>
        <w:rPr>
          <w:i/>
        </w:rPr>
        <w:t>yumuşak</w:t>
      </w:r>
      <w:r>
        <w:rPr/>
        <w:t>) muet ; allonge la voyelle qui le précède (</w:t>
      </w:r>
      <w:r>
        <w:rPr>
          <w:i/>
        </w:rPr>
        <w:t>sağ</w:t>
      </w:r>
      <w:r>
        <w:rPr/>
        <w:t xml:space="preserve"> sain, </w:t>
      </w:r>
      <w:r>
        <w:rPr>
          <w:i/>
        </w:rPr>
        <w:t>dağ</w:t>
      </w:r>
      <w:r>
        <w:rPr/>
        <w:t xml:space="preserve"> la montagne, </w:t>
      </w:r>
      <w:r>
        <w:rPr>
          <w:i/>
        </w:rPr>
        <w:t>iğne</w:t>
      </w:r>
      <w:r>
        <w:rPr/>
        <w:t xml:space="preserve"> l’aiguille, </w:t>
      </w:r>
      <w:r>
        <w:rPr>
          <w:i/>
        </w:rPr>
        <w:t>yağmur</w:t>
      </w:r>
      <w:r>
        <w:rPr/>
        <w:t xml:space="preserve"> la pluie) ; entre deux voyelles il ne se prononce pas (</w:t>
      </w:r>
      <w:r>
        <w:rPr>
          <w:i/>
        </w:rPr>
        <w:t>soğuk</w:t>
      </w:r>
      <w:r>
        <w:rPr/>
        <w:t xml:space="preserve"> froid) ; après des voyelles « fines » (</w:t>
      </w:r>
      <w:r>
        <w:rPr>
          <w:i/>
        </w:rPr>
        <w:t>ince</w:t>
      </w:r>
      <w:r>
        <w:rPr/>
        <w:t>), dites aussi antérieures ou palatales (e, i, ö, ü), il se prononce souvent en consonne y (</w:t>
      </w:r>
      <w:r>
        <w:rPr>
          <w:i/>
        </w:rPr>
        <w:t>eğlence</w:t>
      </w:r>
      <w:r>
        <w:rPr/>
        <w:t xml:space="preserve"> l’amusement)</w:t>
      </w:r>
    </w:p>
    <w:p>
      <w:pPr>
        <w:pStyle w:val="Annotationtext"/>
        <w:numPr>
          <w:ilvl w:val="0"/>
          <w:numId w:val="6"/>
        </w:numPr>
        <w:rPr/>
      </w:pPr>
      <w:r>
        <w:rPr>
          <w:i/>
        </w:rPr>
        <w:t>h</w:t>
      </w:r>
      <w:r>
        <w:rPr/>
        <w:t xml:space="preserve"> toujours « aspiré » (= expiré en fait), sauf dans </w:t>
      </w:r>
      <w:r>
        <w:rPr>
          <w:i/>
        </w:rPr>
        <w:t>Mehmet</w:t>
      </w:r>
    </w:p>
    <w:p>
      <w:pPr>
        <w:pStyle w:val="Annotationtext"/>
        <w:numPr>
          <w:ilvl w:val="0"/>
          <w:numId w:val="6"/>
        </w:numPr>
        <w:rPr/>
      </w:pPr>
      <w:r>
        <w:rPr>
          <w:i/>
        </w:rPr>
        <w:t>ı</w:t>
      </w:r>
      <w:r>
        <w:rPr/>
        <w:t xml:space="preserve"> n’est ni « i » ni « ö » : prononcer comme « i » mais en ramenant la langue en arrière (vers le milieu du palais) : </w:t>
      </w:r>
      <w:r>
        <w:rPr>
          <w:i/>
        </w:rPr>
        <w:t>yıldırım</w:t>
      </w:r>
      <w:r>
        <w:rPr/>
        <w:t xml:space="preserve"> la foudre</w:t>
      </w:r>
    </w:p>
    <w:p>
      <w:pPr>
        <w:pStyle w:val="Annotationtext"/>
        <w:numPr>
          <w:ilvl w:val="0"/>
          <w:numId w:val="6"/>
        </w:numPr>
        <w:rPr/>
      </w:pPr>
      <w:r>
        <w:rPr>
          <w:i/>
        </w:rPr>
        <w:t>y</w:t>
      </w:r>
      <w:r>
        <w:rPr/>
        <w:t xml:space="preserve"> est toujours une consonne, jamais un « i » : </w:t>
      </w:r>
      <w:r>
        <w:rPr>
          <w:i/>
        </w:rPr>
        <w:t>ay</w:t>
      </w:r>
      <w:r>
        <w:rPr/>
        <w:t xml:space="preserve"> la lune, </w:t>
      </w:r>
      <w:r>
        <w:rPr>
          <w:i/>
        </w:rPr>
        <w:t>çay</w:t>
      </w:r>
      <w:r>
        <w:rPr/>
        <w:t xml:space="preserve"> le thé, </w:t>
      </w:r>
      <w:r>
        <w:rPr>
          <w:i/>
        </w:rPr>
        <w:t>ayı</w:t>
      </w:r>
      <w:r>
        <w:rPr/>
        <w:t xml:space="preserve"> l’ourse, </w:t>
      </w:r>
      <w:r>
        <w:rPr>
          <w:i/>
        </w:rPr>
        <w:t>dayı</w:t>
      </w:r>
      <w:r>
        <w:rPr/>
        <w:t xml:space="preserve"> l’oncle maternel</w:t>
      </w:r>
      <w:r>
        <w:br w:type="page"/>
      </w:r>
    </w:p>
    <w:p>
      <w:pPr>
        <w:pStyle w:val="Heading3"/>
        <w:numPr>
          <w:ilvl w:val="0"/>
          <w:numId w:val="3"/>
        </w:numPr>
        <w:textAlignment w:val="auto"/>
        <w:rPr/>
      </w:pPr>
      <w:r>
        <w:rPr/>
        <w:t>Bu ne?</w:t>
      </w:r>
    </w:p>
    <w:p>
      <w:pPr>
        <w:pStyle w:val="Dialogue"/>
        <w:numPr>
          <w:ilvl w:val="0"/>
          <w:numId w:val="4"/>
        </w:numPr>
        <w:rPr/>
      </w:pPr>
      <w:r>
        <w:rPr>
          <w:lang w:val="tr-TR"/>
        </w:rPr>
        <w:t>Bu ne?</w:t>
      </w:r>
    </w:p>
    <w:p>
      <w:pPr>
        <w:pStyle w:val="Dialogue"/>
        <w:numPr>
          <w:ilvl w:val="0"/>
          <w:numId w:val="4"/>
        </w:numPr>
        <w:rPr/>
      </w:pPr>
      <w:r>
        <w:rPr>
          <w:lang w:val="tr-TR"/>
        </w:rPr>
        <w:t>Masa.</w:t>
      </w:r>
    </w:p>
    <w:p>
      <w:pPr>
        <w:pStyle w:val="Dialogue"/>
        <w:numPr>
          <w:ilvl w:val="0"/>
          <w:numId w:val="4"/>
        </w:numPr>
        <w:rPr/>
      </w:pPr>
      <w:r>
        <w:rPr>
          <w:lang w:val="tr-TR"/>
        </w:rPr>
        <w:t>Bu ne?</w:t>
      </w:r>
    </w:p>
    <w:p>
      <w:pPr>
        <w:pStyle w:val="Dialogue"/>
        <w:numPr>
          <w:ilvl w:val="0"/>
          <w:numId w:val="4"/>
        </w:numPr>
        <w:rPr/>
      </w:pPr>
      <w:r>
        <w:rPr>
          <w:lang w:val="tr-TR"/>
        </w:rPr>
        <w:t>Bu, sandalye.</w:t>
      </w:r>
    </w:p>
    <w:p>
      <w:pPr>
        <w:pStyle w:val="Dialogue"/>
        <w:numPr>
          <w:ilvl w:val="0"/>
          <w:numId w:val="4"/>
        </w:numPr>
        <w:rPr/>
      </w:pPr>
      <w:r>
        <w:rPr/>
        <w:t>Bu, sandalye m</w:t>
      </w:r>
      <w:r>
        <w:rPr>
          <w:lang w:val="tr-TR"/>
        </w:rPr>
        <w:t>i</w:t>
      </w:r>
      <w:r>
        <w:rPr/>
        <w:t xml:space="preserve"> ?</w:t>
      </w:r>
    </w:p>
    <w:p>
      <w:pPr>
        <w:pStyle w:val="Dialogue"/>
        <w:numPr>
          <w:ilvl w:val="0"/>
          <w:numId w:val="4"/>
        </w:numPr>
        <w:rPr/>
      </w:pPr>
      <w:r>
        <w:rPr/>
        <w:t>Evet. (oui)</w:t>
      </w:r>
    </w:p>
    <w:p>
      <w:pPr>
        <w:pStyle w:val="Dialogue"/>
        <w:numPr>
          <w:ilvl w:val="0"/>
          <w:numId w:val="4"/>
        </w:numPr>
        <w:rPr/>
      </w:pPr>
      <w:r>
        <w:rPr>
          <w:lang w:val="tr-TR"/>
        </w:rPr>
        <w:t>Şu da mı sandalye?</w:t>
      </w:r>
    </w:p>
    <w:p>
      <w:pPr>
        <w:pStyle w:val="Dialogue"/>
        <w:numPr>
          <w:ilvl w:val="0"/>
          <w:numId w:val="4"/>
        </w:numPr>
        <w:rPr/>
      </w:pPr>
      <w:r>
        <w:rPr>
          <w:lang w:val="tr-TR"/>
        </w:rPr>
        <w:t>Şu mu? Hayır, sandalye değil, penceredir.</w:t>
      </w:r>
    </w:p>
    <w:p>
      <w:pPr>
        <w:pStyle w:val="Dialogue"/>
        <w:numPr>
          <w:ilvl w:val="0"/>
          <w:numId w:val="4"/>
        </w:numPr>
        <w:rPr/>
      </w:pPr>
      <w:r>
        <w:rPr>
          <w:lang w:val="tr-TR"/>
        </w:rPr>
        <w:t>O da mı pencere?</w:t>
      </w:r>
    </w:p>
    <w:p>
      <w:pPr>
        <w:pStyle w:val="Dialogue"/>
        <w:numPr>
          <w:ilvl w:val="0"/>
          <w:numId w:val="4"/>
        </w:numPr>
        <w:rPr/>
      </w:pPr>
      <w:r>
        <w:rPr/>
        <w:t>O mu ? Hayır, pencere değil, kapıdır.</w:t>
      </w:r>
    </w:p>
    <w:p>
      <w:pPr>
        <w:pStyle w:val="Dialogue"/>
        <w:numPr>
          <w:ilvl w:val="0"/>
          <w:numId w:val="4"/>
        </w:numPr>
        <w:rPr>
          <w:lang w:val="tr-TR"/>
        </w:rPr>
      </w:pPr>
      <w:r>
        <w:rPr>
          <w:lang w:val="tr-TR"/>
        </w:rPr>
        <w:t>“</w:t>
      </w:r>
      <w:r>
        <w:rPr>
          <w:lang w:val="tr-TR"/>
        </w:rPr>
        <w:t>Kapı” Fransızca ne demek?</w:t>
      </w:r>
    </w:p>
    <w:p>
      <w:pPr>
        <w:pStyle w:val="Dialogue"/>
        <w:numPr>
          <w:ilvl w:val="0"/>
          <w:numId w:val="4"/>
        </w:numPr>
        <w:rPr>
          <w:lang w:val="tr-TR"/>
        </w:rPr>
      </w:pPr>
      <w:r>
        <w:rPr>
          <w:lang w:val="tr-TR"/>
        </w:rPr>
        <w:t>“</w:t>
      </w:r>
      <w:r>
        <w:rPr>
          <w:lang w:val="tr-TR"/>
        </w:rPr>
        <w:t>Kapı” Fransızca “porte” demektir.</w:t>
      </w:r>
    </w:p>
    <w:p>
      <w:pPr>
        <w:pStyle w:val="Normal"/>
        <w:rPr>
          <w:lang w:val="tr-TR"/>
        </w:rPr>
      </w:pPr>
      <w:r>
        <w:rPr>
          <w:lang w:val="tr-TR"/>
        </w:rPr>
      </w:r>
    </w:p>
    <w:p>
      <w:pPr>
        <w:pStyle w:val="Vocabulaire"/>
        <w:rPr/>
      </w:pPr>
      <w:r>
        <w:rPr/>
        <w:t>bu</w:t>
        <w:tab/>
        <w:tab/>
        <w:tab/>
        <w:t>ce, cette, ces (ceci, proche)</w:t>
      </w:r>
    </w:p>
    <w:p>
      <w:pPr>
        <w:pStyle w:val="Vocabulaire"/>
        <w:rPr/>
      </w:pPr>
      <w:r>
        <w:rPr/>
        <w:t>da</w:t>
        <w:tab/>
        <w:tab/>
        <w:tab/>
        <w:t>aussi</w:t>
      </w:r>
    </w:p>
    <w:p>
      <w:pPr>
        <w:pStyle w:val="Vocabulaire"/>
        <w:rPr/>
      </w:pPr>
      <w:r>
        <w:rPr/>
        <w:t>değil</w:t>
        <w:tab/>
        <w:tab/>
        <w:tab/>
        <w:t>n’est pas</w:t>
      </w:r>
    </w:p>
    <w:p>
      <w:pPr>
        <w:pStyle w:val="Vocabulaire"/>
        <w:rPr>
          <w:i w:val="false"/>
          <w:i w:val="false"/>
        </w:rPr>
      </w:pPr>
      <w:r>
        <w:rPr/>
        <w:t>demek</w:t>
        <w:tab/>
        <w:tab/>
        <w:tab/>
      </w:r>
      <w:r>
        <w:rPr>
          <w:i w:val="false"/>
        </w:rPr>
        <w:t>dire</w:t>
      </w:r>
    </w:p>
    <w:p>
      <w:pPr>
        <w:pStyle w:val="Vocabulaire"/>
        <w:rPr>
          <w:i w:val="false"/>
          <w:i w:val="false"/>
        </w:rPr>
      </w:pPr>
      <w:r>
        <w:rPr/>
        <w:t>Fransızca</w:t>
        <w:tab/>
        <w:tab/>
      </w:r>
      <w:r>
        <w:rPr>
          <w:i w:val="false"/>
        </w:rPr>
        <w:t>français (langue)</w:t>
      </w:r>
    </w:p>
    <w:p>
      <w:pPr>
        <w:pStyle w:val="Vocabulaire"/>
        <w:rPr/>
      </w:pPr>
      <w:r>
        <w:rPr/>
        <w:t>hayır</w:t>
        <w:tab/>
        <w:tab/>
        <w:tab/>
        <w:t>non</w:t>
      </w:r>
    </w:p>
    <w:p>
      <w:pPr>
        <w:pStyle w:val="Vocabulaire"/>
        <w:rPr/>
      </w:pPr>
      <w:r>
        <w:rPr/>
        <w:t>kapı</w:t>
        <w:tab/>
        <w:tab/>
        <w:tab/>
        <w:t>porte</w:t>
      </w:r>
    </w:p>
    <w:p>
      <w:pPr>
        <w:pStyle w:val="Vocabulaire"/>
        <w:rPr/>
      </w:pPr>
      <w:r>
        <w:rPr/>
        <w:t>masa</w:t>
        <w:tab/>
        <w:tab/>
        <w:tab/>
        <w:t>table</w:t>
      </w:r>
    </w:p>
    <w:p>
      <w:pPr>
        <w:pStyle w:val="Vocabulaire"/>
        <w:rPr/>
      </w:pPr>
      <w:r>
        <w:rPr/>
        <w:t>mi, mı, mu</w:t>
        <w:tab/>
        <w:tab/>
        <w:t>(particule interrogative)</w:t>
      </w:r>
    </w:p>
    <w:p>
      <w:pPr>
        <w:pStyle w:val="Vocabulaire"/>
        <w:rPr/>
      </w:pPr>
      <w:r>
        <w:rPr/>
        <w:t>ne</w:t>
        <w:tab/>
        <w:tab/>
        <w:tab/>
        <w:t>quoi, que</w:t>
      </w:r>
    </w:p>
    <w:p>
      <w:pPr>
        <w:pStyle w:val="Vocabulaire"/>
        <w:rPr/>
      </w:pPr>
      <w:r>
        <w:rPr/>
        <w:t>o</w:t>
        <w:tab/>
        <w:tab/>
        <w:tab/>
        <w:t>ce, cette, ces (cela éloigné) ;</w:t>
        <w:br/>
        <w:tab/>
        <w:tab/>
        <w:tab/>
        <w:t>il, elle</w:t>
      </w:r>
    </w:p>
    <w:p>
      <w:pPr>
        <w:pStyle w:val="Vocabulaire"/>
        <w:rPr/>
      </w:pPr>
      <w:r>
        <w:rPr/>
        <w:t>pencere</w:t>
        <w:tab/>
        <w:tab/>
        <w:t>fenêtre</w:t>
      </w:r>
    </w:p>
    <w:p>
      <w:pPr>
        <w:pStyle w:val="Vocabulaire"/>
        <w:rPr/>
      </w:pPr>
      <w:r>
        <w:rPr/>
        <w:t>sandalye</w:t>
        <w:tab/>
        <w:tab/>
        <w:t>chaise</w:t>
      </w:r>
    </w:p>
    <w:p>
      <w:pPr>
        <w:pStyle w:val="Vocabulaire"/>
        <w:rPr/>
      </w:pPr>
      <w:r>
        <w:rPr/>
        <w:t>şu</w:t>
        <w:tab/>
        <w:tab/>
        <w:tab/>
        <w:t>ce, cette, ces (cela, un peu moins proche)</w:t>
      </w:r>
    </w:p>
    <w:p>
      <w:pPr>
        <w:pStyle w:val="Vocabulaire"/>
        <w:ind w:left="0" w:hanging="0"/>
        <w:rPr>
          <w:i w:val="false"/>
          <w:i w:val="false"/>
          <w:iCs w:val="false"/>
        </w:rPr>
      </w:pPr>
      <w:r>
        <w:rPr>
          <w:i w:val="false"/>
          <w:iCs w:val="false"/>
        </w:rPr>
      </w:r>
    </w:p>
    <w:p>
      <w:pPr>
        <w:pStyle w:val="Vocabulaire"/>
        <w:ind w:left="0" w:hanging="0"/>
        <w:rPr>
          <w:lang w:val="fr-FR"/>
        </w:rPr>
      </w:pPr>
      <w:r>
        <w:rPr>
          <w:i w:val="false"/>
          <w:iCs w:val="false"/>
        </w:rPr>
        <w:t xml:space="preserve">Mettre des virgules/points-virgules après le sujet dans des phrases prédicatives peut aider. Pas obligé mais apparaît. </w:t>
      </w:r>
    </w:p>
    <w:p>
      <w:pPr>
        <w:pStyle w:val="Heading4"/>
        <w:spacing w:before="280" w:after="0"/>
        <w:rPr/>
      </w:pPr>
      <w:r>
        <w:rPr/>
        <w:t>Tekrarlayın (Répétez)</w:t>
      </w:r>
    </w:p>
    <w:p>
      <w:pPr>
        <w:pStyle w:val="Dialogue"/>
        <w:numPr>
          <w:ilvl w:val="0"/>
          <w:numId w:val="8"/>
        </w:numPr>
        <w:rPr/>
      </w:pPr>
      <w:r>
        <w:rPr/>
        <w:t>Pencere açık. (la fenêtre est ouverte)</w:t>
      </w:r>
    </w:p>
    <w:p>
      <w:pPr>
        <w:pStyle w:val="Dialogue"/>
        <w:numPr>
          <w:ilvl w:val="0"/>
          <w:numId w:val="8"/>
        </w:numPr>
        <w:rPr/>
      </w:pPr>
      <w:r>
        <w:rPr/>
        <w:t>Pencere açıktır.</w:t>
      </w:r>
    </w:p>
    <w:p>
      <w:pPr>
        <w:pStyle w:val="Dialogue"/>
        <w:numPr>
          <w:ilvl w:val="0"/>
          <w:numId w:val="8"/>
        </w:numPr>
        <w:rPr/>
      </w:pPr>
      <w:r>
        <w:rPr/>
        <w:t>Şimdi pencere kapalı.</w:t>
      </w:r>
    </w:p>
    <w:p>
      <w:pPr>
        <w:pStyle w:val="Dialogue"/>
        <w:numPr>
          <w:ilvl w:val="0"/>
          <w:numId w:val="8"/>
        </w:numPr>
        <w:rPr/>
      </w:pPr>
      <w:r>
        <w:rPr/>
        <w:t>Pencere kapalıdır.</w:t>
      </w:r>
    </w:p>
    <w:p>
      <w:pPr>
        <w:pStyle w:val="Dialogue"/>
        <w:numPr>
          <w:ilvl w:val="0"/>
          <w:numId w:val="8"/>
        </w:numPr>
        <w:rPr/>
      </w:pPr>
      <w:r>
        <w:rPr/>
        <w:t>Pencere açık mı?</w:t>
      </w:r>
    </w:p>
    <w:p>
      <w:pPr>
        <w:pStyle w:val="Dialogue"/>
        <w:numPr>
          <w:ilvl w:val="0"/>
          <w:numId w:val="8"/>
        </w:numPr>
        <w:rPr/>
      </w:pPr>
      <w:r>
        <w:rPr/>
        <w:t>Pencere kapalı değil mi?</w:t>
      </w:r>
    </w:p>
    <w:p>
      <w:pPr>
        <w:pStyle w:val="Heading4"/>
        <w:spacing w:before="280" w:after="0"/>
        <w:rPr/>
      </w:pPr>
      <w:r>
        <w:rPr/>
        <w:t>Tamamlayın (Complétez)</w:t>
      </w:r>
    </w:p>
    <w:tbl>
      <w:tblPr>
        <w:tblW w:w="891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429"/>
        <w:gridCol w:w="2771"/>
        <w:gridCol w:w="3718"/>
      </w:tblGrid>
      <w:tr>
        <w:trPr/>
        <w:tc>
          <w:tcPr>
            <w:tcW w:w="2429" w:type="dxa"/>
            <w:tcBorders/>
            <w:shd w:color="auto" w:fill="auto" w:val="clear"/>
          </w:tcPr>
          <w:p>
            <w:pPr>
              <w:pStyle w:val="Dialogue"/>
              <w:widowControl w:val="false"/>
              <w:numPr>
                <w:ilvl w:val="0"/>
                <w:numId w:val="0"/>
              </w:numPr>
              <w:tabs>
                <w:tab w:val="clear" w:pos="720"/>
                <w:tab w:val="left" w:pos="708" w:leader="none"/>
              </w:tabs>
              <w:ind w:left="0" w:hanging="0"/>
              <w:rPr/>
            </w:pPr>
            <w:r>
              <w:rPr/>
              <w:t>Küçük çanta mavidir.</w:t>
            </w:r>
          </w:p>
          <w:p>
            <w:pPr>
              <w:pStyle w:val="Dialogue"/>
              <w:widowControl w:val="false"/>
              <w:numPr>
                <w:ilvl w:val="0"/>
                <w:numId w:val="0"/>
              </w:numPr>
              <w:tabs>
                <w:tab w:val="clear" w:pos="720"/>
                <w:tab w:val="left" w:pos="708" w:leader="none"/>
              </w:tabs>
              <w:ind w:left="0" w:hanging="0"/>
              <w:rPr/>
            </w:pPr>
            <w:r>
              <w:rPr/>
              <w:t>Le petit sac est bleu.</w:t>
            </w:r>
          </w:p>
        </w:tc>
        <w:tc>
          <w:tcPr>
            <w:tcW w:w="2771" w:type="dxa"/>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beyaz</w:t>
            </w:r>
            <w:r>
              <w:rPr>
                <w:i w:val="false"/>
              </w:rPr>
              <w:br/>
            </w:r>
            <w:r>
              <w:rPr/>
              <w:tab/>
              <w:t>kırmızı</w:t>
              <w:br/>
              <w:tab/>
              <w:t xml:space="preserve">sarı </w:t>
              <w:br/>
              <w:tab/>
              <w:t xml:space="preserve">pembe </w:t>
              <w:br/>
              <w:tab/>
              <w:t xml:space="preserve">yeşil </w:t>
              <w:br/>
              <w:tab/>
              <w:t>siyah</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Küçük çanta beyazdır.</w:t>
              <w:br/>
              <w:t>Küçük çanta kırmızıdır</w:t>
            </w:r>
            <w:r>
              <w:rPr>
                <w:i w:val="false"/>
                <w:color w:val="AEAAAA"/>
              </w:rPr>
              <w:br/>
            </w:r>
            <w:r>
              <w:rPr>
                <w:i w:val="false"/>
                <w:color w:val="000000"/>
                <w:shd w:fill="auto" w:val="clear"/>
              </w:rPr>
              <w:t>Küçük çanta sarıdır</w:t>
            </w:r>
            <w:r>
              <w:rPr>
                <w:i w:val="false"/>
                <w:color w:val="AEAAAA"/>
              </w:rPr>
              <w:br/>
            </w:r>
            <w:r>
              <w:rPr>
                <w:i w:val="false"/>
                <w:color w:val="000000"/>
              </w:rPr>
              <w:t>Küçuk çanta pembedir</w:t>
            </w:r>
            <w:r>
              <w:rPr>
                <w:i w:val="false"/>
                <w:color w:val="AEAAAA"/>
              </w:rPr>
              <w:br/>
            </w:r>
            <w:r>
              <w:rPr>
                <w:i w:val="false"/>
                <w:color w:val="000000"/>
              </w:rPr>
              <w:t>Küçuk çanta yeşildir</w:t>
            </w:r>
            <w:r>
              <w:rPr>
                <w:i w:val="false"/>
                <w:color w:val="AEAAAA"/>
              </w:rPr>
              <w:br/>
            </w:r>
            <w:r>
              <w:rPr>
                <w:i w:val="false"/>
                <w:color w:val="000000"/>
              </w:rPr>
              <w:t>Küçük çanta siyaht</w:t>
            </w:r>
            <w:r>
              <w:rPr>
                <w:i w:val="false"/>
                <w:color w:val="000000"/>
              </w:rPr>
              <w:t>ı</w:t>
            </w:r>
            <w:r>
              <w:rPr>
                <w:i w:val="false"/>
                <w:color w:val="000000"/>
              </w:rPr>
              <w:t>r</w:t>
            </w:r>
          </w:p>
        </w:tc>
      </w:tr>
    </w:tbl>
    <w:tbl>
      <w:tblPr>
        <w:tblW w:w="891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431"/>
        <w:gridCol w:w="2769"/>
        <w:gridCol w:w="3718"/>
      </w:tblGrid>
      <w:tr>
        <w:trPr/>
        <w:tc>
          <w:tcPr>
            <w:tcW w:w="2431" w:type="dxa"/>
            <w:tcBorders/>
            <w:shd w:color="auto" w:fill="auto" w:val="clear"/>
          </w:tcPr>
          <w:p>
            <w:pPr>
              <w:pStyle w:val="Heading4"/>
              <w:pageBreakBefore/>
              <w:widowControl w:val="false"/>
              <w:tabs>
                <w:tab w:val="clear" w:pos="720"/>
                <w:tab w:val="left" w:pos="708" w:leader="none"/>
              </w:tabs>
              <w:spacing w:before="0" w:after="0"/>
              <w:ind w:left="0" w:hanging="0"/>
              <w:rPr>
                <w:i w:val="false"/>
                <w:i w:val="false"/>
              </w:rPr>
            </w:pPr>
            <w:r>
              <w:br w:type="page"/>
            </w:r>
            <w:r>
              <w:rPr>
                <w:i w:val="false"/>
              </w:rPr>
              <w:t>Kırmızı kutu güzeldir.</w:t>
            </w:r>
          </w:p>
        </w:tc>
        <w:tc>
          <w:tcPr>
            <w:tcW w:w="2769" w:type="dxa"/>
            <w:tcBorders/>
            <w:shd w:color="auto" w:fill="auto" w:val="clear"/>
          </w:tcPr>
          <w:p>
            <w:pPr>
              <w:pStyle w:val="Heading4"/>
              <w:widowControl w:val="false"/>
              <w:spacing w:lineRule="auto" w:line="240" w:before="0" w:after="0"/>
              <w:ind w:left="0" w:hanging="0"/>
              <w:rPr/>
            </w:pPr>
            <w:r>
              <w:rPr>
                <w:i w:val="false"/>
              </w:rPr>
              <w:br/>
            </w:r>
            <w:r>
              <w:rPr>
                <w:rFonts w:eastAsia="Symbol" w:cs="Symbol" w:ascii="Symbol" w:hAnsi="Symbol"/>
                <w:i w:val="false"/>
              </w:rPr>
              <w:sym w:font="Symbol" w:char="f0ae"/>
            </w:r>
            <w:r>
              <w:rPr>
                <w:i w:val="false"/>
              </w:rPr>
              <w:tab/>
            </w:r>
            <w:r>
              <w:rPr/>
              <w:t xml:space="preserve">açık </w:t>
              <w:br/>
              <w:tab/>
              <w:t xml:space="preserve">kapalı </w:t>
              <w:br/>
              <w:tab/>
              <w:t xml:space="preserve">boş </w:t>
              <w:br/>
              <w:tab/>
              <w:t xml:space="preserve">dolu </w:t>
              <w:br/>
              <w:tab/>
              <w:t xml:space="preserve">kirli </w:t>
              <w:br/>
              <w:tab/>
              <w:t xml:space="preserve">temiz </w:t>
              <w:br/>
              <w:tab/>
              <w:t xml:space="preserve">pahalı </w:t>
              <w:br/>
              <w:tab/>
              <w:t>ucuz</w:t>
              <w:br/>
              <w:tab/>
              <w:t xml:space="preserve">yeni </w:t>
              <w:br/>
              <w:tab/>
              <w:t xml:space="preserve">eski </w:t>
              <w:br/>
              <w:tab/>
              <w:t xml:space="preserve">ağır </w:t>
              <w:br/>
              <w:tab/>
              <w:t>hafif</w:t>
              <w:br/>
              <w:tab/>
              <w:t>uzun</w:t>
              <w:br/>
              <w:tab/>
              <w:t>kısa</w:t>
            </w:r>
          </w:p>
        </w:tc>
        <w:tc>
          <w:tcPr>
            <w:tcW w:w="3718" w:type="dxa"/>
            <w:tcBorders/>
            <w:shd w:color="auto" w:fill="auto" w:val="clear"/>
          </w:tcPr>
          <w:p>
            <w:pPr>
              <w:pStyle w:val="Heading4"/>
              <w:widowControl w:val="false"/>
              <w:spacing w:lineRule="auto" w:line="240" w:before="0" w:after="0"/>
              <w:ind w:left="0" w:hanging="0"/>
              <w:jc w:val="left"/>
              <w:rPr>
                <w:i w:val="false"/>
                <w:i w:val="false"/>
              </w:rPr>
            </w:pPr>
            <w:r>
              <w:rPr/>
              <w:br/>
            </w:r>
            <w:r>
              <w:rPr>
                <w:i w:val="false"/>
              </w:rPr>
              <w:t>Kırmızı kutu açıktır.</w:t>
              <w:br/>
              <w:t>K</w:t>
            </w:r>
            <w:r>
              <w:rPr>
                <w:rFonts w:ascii="Times New roman" w:hAnsi="Times New roman"/>
                <w:i w:val="false"/>
              </w:rPr>
              <w:t>ırmızı kutu kapalıdır</w:t>
            </w:r>
            <w:r>
              <w:rPr>
                <w:i w:val="false"/>
                <w:color w:val="AEAAAA"/>
              </w:rPr>
              <w:br/>
            </w:r>
            <w:r>
              <w:rPr>
                <w:i w:val="false"/>
                <w:color w:val="000000"/>
              </w:rPr>
              <w:t>K</w:t>
            </w:r>
            <w:r>
              <w:rPr>
                <w:rFonts w:ascii="Times New roman" w:hAnsi="Times New roman"/>
                <w:i w:val="false"/>
                <w:color w:val="000000"/>
              </w:rPr>
              <w:t>ırmızı kutu boştur</w:t>
            </w:r>
          </w:p>
          <w:p>
            <w:pPr>
              <w:pStyle w:val="Heading4"/>
              <w:widowControl w:val="false"/>
              <w:spacing w:lineRule="auto" w:line="240" w:before="0" w:after="0"/>
              <w:ind w:left="0" w:hanging="0"/>
              <w:jc w:val="left"/>
              <w:rPr>
                <w:i w:val="false"/>
                <w:i w:val="false"/>
              </w:rPr>
            </w:pPr>
            <w:r>
              <w:rPr>
                <w:i w:val="false"/>
                <w:color w:val="000000"/>
              </w:rPr>
              <w:t>K</w:t>
            </w:r>
            <w:r>
              <w:rPr>
                <w:rFonts w:ascii="Times New roman" w:hAnsi="Times New roman"/>
                <w:i w:val="false"/>
                <w:color w:val="000000"/>
              </w:rPr>
              <w:t>ırmızı kutu doludur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kirlidir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temizdir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pahalıdır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ucuztur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yenidir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eskidir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ağirdir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hafiftir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uzundur</w:t>
            </w:r>
          </w:p>
          <w:p>
            <w:pPr>
              <w:pStyle w:val="Heading4"/>
              <w:widowControl w:val="false"/>
              <w:spacing w:lineRule="auto" w:line="240" w:before="0" w:after="0"/>
              <w:ind w:left="0" w:hanging="0"/>
              <w:jc w:val="left"/>
              <w:rPr>
                <w:i w:val="false"/>
                <w:i w:val="false"/>
              </w:rPr>
            </w:pPr>
            <w:r>
              <w:rPr>
                <w:rFonts w:ascii="Times New roman" w:hAnsi="Times New roman"/>
                <w:i w:val="false"/>
                <w:color w:val="000000"/>
              </w:rPr>
              <w:t>Kırmızı kutu kısadır</w:t>
            </w:r>
          </w:p>
        </w:tc>
      </w:tr>
    </w:tbl>
    <w:p>
      <w:pPr>
        <w:pStyle w:val="Heading4"/>
        <w:spacing w:before="280" w:after="0"/>
        <w:rPr/>
      </w:pPr>
      <w:r>
        <w:rPr/>
        <w:t>Lütfen dikkat</w:t>
      </w:r>
    </w:p>
    <w:p>
      <w:pPr>
        <w:pStyle w:val="Dialogue"/>
        <w:numPr>
          <w:ilvl w:val="0"/>
          <w:numId w:val="9"/>
        </w:numPr>
        <w:spacing w:beforeAutospacing="1" w:after="0"/>
        <w:rPr/>
      </w:pPr>
      <w:r>
        <w:rPr/>
        <w:t xml:space="preserve">le verbe « être » au présent n’a pas d’équivalent en turc : recours à un équivalent nominal utilisé comme prédicat, auquel on adjoint </w:t>
      </w:r>
      <w:r>
        <w:rPr>
          <w:i/>
        </w:rPr>
        <w:t>facultativement</w:t>
      </w:r>
      <w:r>
        <w:rPr/>
        <w:t xml:space="preserve"> le suffixe </w:t>
      </w:r>
      <w:r>
        <w:rPr>
          <w:i/>
        </w:rPr>
        <w:t>-d</w:t>
      </w:r>
      <w:r>
        <w:rPr>
          <w:i/>
          <w:smallCaps/>
        </w:rPr>
        <w:t>ı</w:t>
      </w:r>
      <w:r>
        <w:rPr>
          <w:i/>
        </w:rPr>
        <w:t>r</w:t>
      </w:r>
      <w:r>
        <w:rPr/>
        <w:t xml:space="preserve">. On parle donc de </w:t>
      </w:r>
      <w:r>
        <w:rPr>
          <w:b/>
        </w:rPr>
        <w:t>prédication nominale</w:t>
      </w:r>
      <w:r>
        <w:rPr/>
        <w:t xml:space="preserve">. La proposition ainsi formée est donc nominale et non verbale. </w:t>
      </w:r>
      <w:r>
        <w:rPr>
          <w:i/>
        </w:rPr>
        <w:t>Değil</w:t>
      </w:r>
      <w:r>
        <w:rPr/>
        <w:t xml:space="preserve"> est la forme négative de cette prédication nominale.</w:t>
      </w:r>
    </w:p>
    <w:p>
      <w:pPr>
        <w:pStyle w:val="Annotationtext"/>
        <w:numPr>
          <w:ilvl w:val="0"/>
          <w:numId w:val="10"/>
        </w:numPr>
        <w:spacing w:before="240" w:after="0"/>
        <w:rPr/>
      </w:pPr>
      <w:r>
        <w:rPr/>
        <w:t xml:space="preserve">la </w:t>
      </w:r>
      <w:r>
        <w:rPr>
          <w:b/>
        </w:rPr>
        <w:t>particule interrogative</w:t>
      </w:r>
      <w:r>
        <w:rPr/>
        <w:t xml:space="preserve"> </w:t>
      </w:r>
      <w:r>
        <w:rPr>
          <w:i/>
        </w:rPr>
        <w:t>m</w:t>
      </w:r>
      <w:r>
        <w:rPr>
          <w:i/>
          <w:smallCaps/>
        </w:rPr>
        <w:t>i</w:t>
      </w:r>
      <w:r>
        <w:rPr/>
        <w:t> :</w:t>
      </w:r>
    </w:p>
    <w:p>
      <w:pPr>
        <w:pStyle w:val="Annotationtext"/>
        <w:numPr>
          <w:ilvl w:val="0"/>
          <w:numId w:val="5"/>
        </w:numPr>
        <w:spacing w:before="60" w:after="0"/>
        <w:ind w:left="714" w:firstLine="704"/>
        <w:rPr/>
      </w:pPr>
      <w:r>
        <w:rPr/>
        <w:t xml:space="preserve">s’emploie en l’absence de pronom interrogatif (p. ex. </w:t>
      </w:r>
      <w:r>
        <w:rPr>
          <w:i/>
        </w:rPr>
        <w:t>ne?</w:t>
      </w:r>
      <w:r>
        <w:rPr/>
        <w:t>) ;</w:t>
      </w:r>
    </w:p>
    <w:p>
      <w:pPr>
        <w:pStyle w:val="Annotationtext"/>
        <w:numPr>
          <w:ilvl w:val="0"/>
          <w:numId w:val="5"/>
        </w:numPr>
        <w:spacing w:before="60" w:after="0"/>
        <w:ind w:left="714" w:firstLine="704"/>
        <w:rPr/>
      </w:pPr>
      <w:r>
        <w:rPr/>
        <w:t>se place aussitôt après le mot sur lequel porte l’interrogation ;</w:t>
      </w:r>
    </w:p>
    <w:p>
      <w:pPr>
        <w:pStyle w:val="Annotationtext"/>
        <w:numPr>
          <w:ilvl w:val="0"/>
          <w:numId w:val="5"/>
        </w:numPr>
        <w:spacing w:before="60" w:after="180"/>
        <w:ind w:left="714" w:firstLine="704"/>
        <w:rPr/>
      </w:pPr>
      <w:r>
        <w:rPr/>
        <w:t>est enclitique (= accentue la syllabe qui la précède).</w:t>
      </w:r>
    </w:p>
    <w:p>
      <w:pPr>
        <w:pStyle w:val="Dialogue"/>
        <w:numPr>
          <w:ilvl w:val="0"/>
          <w:numId w:val="7"/>
        </w:numPr>
        <w:tabs>
          <w:tab w:val="clear" w:pos="720"/>
          <w:tab w:val="left" w:pos="284" w:leader="none"/>
        </w:tabs>
        <w:spacing w:before="240" w:after="0"/>
        <w:rPr>
          <w:i/>
          <w:i/>
        </w:rPr>
      </w:pPr>
      <w:r>
        <w:rPr/>
        <w:t>le comportement des voyelles est régi par la règle dite de l’</w:t>
      </w:r>
      <w:r>
        <w:rPr>
          <w:b/>
        </w:rPr>
        <w:t>harmonie vocalique</w:t>
      </w:r>
      <w:r>
        <w:rPr/>
        <w:t>. Pour le dire simplement (nous y reviendrons plus en détail dans les leçons suivantes) une voyelle donne une « couleur » à celle(s) du ou des suffixes qui la suivent.</w:t>
        <w:br/>
        <w:br/>
        <w:t xml:space="preserve">Exemples dans le dialogue ci-dessus : </w:t>
      </w:r>
      <w:r>
        <w:rPr>
          <w:i/>
        </w:rPr>
        <w:t>penceredir</w:t>
      </w:r>
      <w:r>
        <w:rPr/>
        <w:t xml:space="preserve"> et </w:t>
      </w:r>
      <w:r>
        <w:rPr>
          <w:i/>
        </w:rPr>
        <w:t>kapıdır</w:t>
      </w:r>
      <w:r>
        <w:rPr/>
        <w:t xml:space="preserve"> ; </w:t>
      </w:r>
      <w:r>
        <w:rPr>
          <w:i/>
        </w:rPr>
        <w:t>açık mı?</w:t>
      </w:r>
      <w:r>
        <w:rPr/>
        <w:t xml:space="preserve"> et </w:t>
      </w:r>
      <w:r>
        <w:rPr>
          <w:i/>
        </w:rPr>
        <w:t>şu mu?</w:t>
      </w:r>
    </w:p>
    <w:p>
      <w:pPr>
        <w:pStyle w:val="Normal"/>
        <w:rPr>
          <w:lang w:val="fr-FR"/>
        </w:rPr>
      </w:pPr>
      <w:r>
        <w:rPr>
          <w:lang w:val="fr-FR"/>
        </w:rPr>
      </w:r>
    </w:p>
    <w:p>
      <w:pPr>
        <w:pStyle w:val="Normal"/>
        <w:pBdr>
          <w:bottom w:val="single" w:sz="4" w:space="1" w:color="000000"/>
        </w:pBdr>
        <w:rPr>
          <w:lang w:val="fr-FR"/>
        </w:rPr>
      </w:pPr>
      <w:r>
        <w:rPr>
          <w:lang w:val="fr-F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9"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Garamond">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Lucida Console">
    <w:charset w:val="01"/>
    <w:family w:val="roman"/>
    <w:pitch w:val="variable"/>
  </w:font>
  <w:font w:name="Times New Roman">
    <w:charset w:val="01"/>
    <w:family w:val="roman"/>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t>Birinci ders</w:t>
      <w:tab/>
      <w:tab/>
      <w:t xml:space="preserve">| </w:t>
    </w:r>
    <w:r>
      <w:rPr>
        <w:rFonts w:ascii="Lucida Console" w:hAnsi="Lucida Console"/>
        <w:sz w:val="16"/>
        <w:lang w:val="fr-FR"/>
      </w:rPr>
      <w:fldChar w:fldCharType="begin"/>
    </w:r>
    <w:r>
      <w:rPr>
        <w:sz w:val="16"/>
        <w:rFonts w:ascii="Lucida Console" w:hAnsi="Lucida Console"/>
        <w:lang w:val="fr-FR"/>
      </w:rPr>
      <w:instrText xml:space="preserve"> PAGE </w:instrText>
    </w:r>
    <w:r>
      <w:rPr>
        <w:sz w:val="16"/>
        <w:rFonts w:ascii="Lucida Console" w:hAnsi="Lucida Console"/>
        <w:lang w:val="fr-FR"/>
      </w:rPr>
      <w:fldChar w:fldCharType="separate"/>
    </w:r>
    <w:r>
      <w:rPr>
        <w:sz w:val="16"/>
        <w:rFonts w:ascii="Lucida Console" w:hAnsi="Lucida Console"/>
        <w:lang w:val="fr-FR"/>
      </w:rPr>
      <w:t>5</w:t>
    </w:r>
    <w:r>
      <w:rPr>
        <w:sz w:val="16"/>
        <w:rFonts w:ascii="Lucida Console" w:hAnsi="Lucida Console"/>
        <w:lang w:val="fr-FR"/>
      </w:rPr>
      <w:fldChar w:fldCharType="end"/>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0" w:hanging="360"/>
      </w:pPr>
      <w:rPr>
        <w:rFonts w:ascii="Wingdings" w:hAnsi="Wingdings" w:cs="Wingdings"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4">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1069"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suppressAutoHyphens w:val="true"/>
      <w:overflowPunct w:val="false"/>
      <w:spacing w:lineRule="auto" w:line="360" w:before="240" w:after="60"/>
      <w:textAlignment w:val="baseline"/>
      <w:outlineLvl w:val="0"/>
    </w:pPr>
    <w:rPr>
      <w:rFonts w:ascii="Arial" w:hAnsi="Arial" w:cs="Arial"/>
      <w:b/>
      <w:bCs/>
      <w:kern w:val="2"/>
      <w:sz w:val="32"/>
      <w:szCs w:val="32"/>
      <w:lang w:val="fr-FR"/>
    </w:rPr>
  </w:style>
  <w:style w:type="paragraph" w:styleId="Heading2">
    <w:name w:val="Heading 2"/>
    <w:basedOn w:val="Normal"/>
    <w:next w:val="Normal"/>
    <w:qFormat/>
    <w:pPr>
      <w:keepNext w:val="true"/>
      <w:numPr>
        <w:ilvl w:val="0"/>
        <w:numId w:val="2"/>
      </w:numPr>
      <w:suppressAutoHyphens w:val="true"/>
      <w:overflowPunct w:val="false"/>
      <w:spacing w:lineRule="auto" w:line="360" w:before="240" w:after="480"/>
      <w:jc w:val="center"/>
      <w:textAlignment w:val="baseline"/>
      <w:outlineLvl w:val="1"/>
    </w:pPr>
    <w:rPr>
      <w:rFonts w:ascii="Arial" w:hAnsi="Arial" w:eastAsia="MS Mincho" w:cs="Arial"/>
      <w:caps/>
      <w:lang w:val="tr-TR"/>
    </w:rPr>
  </w:style>
  <w:style w:type="paragraph" w:styleId="Heading3">
    <w:name w:val="Heading 3"/>
    <w:basedOn w:val="Normal"/>
    <w:next w:val="Normal"/>
    <w:qFormat/>
    <w:pPr>
      <w:keepNext w:val="true"/>
      <w:pBdr>
        <w:bottom w:val="single" w:sz="4" w:space="1" w:color="000000"/>
      </w:pBdr>
      <w:suppressAutoHyphens w:val="true"/>
      <w:overflowPunct w:val="false"/>
      <w:spacing w:lineRule="auto" w:line="360" w:before="480" w:after="240"/>
      <w:ind w:left="2880" w:hanging="0"/>
      <w:jc w:val="both"/>
      <w:textAlignment w:val="baseline"/>
      <w:outlineLvl w:val="2"/>
    </w:pPr>
    <w:rPr>
      <w:rFonts w:ascii="Verdana" w:hAnsi="Verdana" w:cs="Arial"/>
      <w:b/>
      <w:i/>
      <w:iCs/>
      <w:sz w:val="20"/>
      <w:lang w:val="tr-TR"/>
    </w:rPr>
  </w:style>
  <w:style w:type="paragraph" w:styleId="Heading4">
    <w:name w:val="Heading 4"/>
    <w:basedOn w:val="Normal"/>
    <w:next w:val="Normal"/>
    <w:qFormat/>
    <w:pPr>
      <w:keepNext w:val="true"/>
      <w:overflowPunct w:val="false"/>
      <w:spacing w:lineRule="auto" w:line="360" w:beforeAutospacing="1" w:after="0"/>
      <w:ind w:left="2880" w:hanging="0"/>
      <w:jc w:val="both"/>
      <w:textAlignment w:val="baseline"/>
      <w:outlineLvl w:val="3"/>
    </w:pPr>
    <w:rPr>
      <w:i/>
      <w:lang w:val="fr-FR"/>
    </w:rPr>
  </w:style>
  <w:style w:type="paragraph" w:styleId="Heading5">
    <w:name w:val="Heading 5"/>
    <w:basedOn w:val="Normal"/>
    <w:next w:val="Normal"/>
    <w:qFormat/>
    <w:pPr>
      <w:keepNext w:val="true"/>
      <w:overflowPunct w:val="false"/>
      <w:spacing w:lineRule="auto" w:line="360" w:beforeAutospacing="1" w:after="180"/>
      <w:ind w:left="2880" w:hanging="0"/>
      <w:textAlignment w:val="baseline"/>
      <w:outlineLvl w:val="4"/>
    </w:pPr>
    <w:rPr>
      <w:i/>
      <w:iCs/>
      <w:szCs w:val="26"/>
      <w:lang w:val="fr-FR"/>
    </w:rPr>
  </w:style>
  <w:style w:type="paragraph" w:styleId="Heading6">
    <w:name w:val="Heading 6"/>
    <w:basedOn w:val="Normal"/>
    <w:next w:val="Normal"/>
    <w:qFormat/>
    <w:pPr>
      <w:keepNext w:val="true"/>
      <w:overflowPunct w:val="false"/>
      <w:spacing w:lineRule="auto" w:line="360" w:before="240" w:after="60"/>
      <w:textAlignment w:val="baseline"/>
      <w:outlineLvl w:val="5"/>
    </w:pPr>
    <w:rPr>
      <w:b/>
      <w:bCs/>
      <w:spacing w:val="40"/>
      <w:lang w:val="fr-FR"/>
    </w:rPr>
  </w:style>
  <w:style w:type="paragraph" w:styleId="Heading7">
    <w:name w:val="Heading 7"/>
    <w:basedOn w:val="Normal"/>
    <w:next w:val="Normal"/>
    <w:qFormat/>
    <w:pPr>
      <w:keepNext w:val="true"/>
      <w:ind w:left="360" w:hanging="0"/>
      <w:outlineLvl w:val="6"/>
    </w:pPr>
    <w:rPr>
      <w:i/>
      <w:iCs/>
      <w:lang w:val="fr-FR"/>
    </w:rPr>
  </w:style>
  <w:style w:type="character" w:styleId="DefaultParagraphFont" w:default="1">
    <w:name w:val="Default Paragraph Font"/>
    <w:uiPriority w:val="1"/>
    <w:semiHidden/>
    <w:unhideWhenUsed/>
    <w:qFormat/>
    <w:rPr/>
  </w:style>
  <w:style w:type="character" w:styleId="NotedefinCar" w:customStyle="1">
    <w:name w:val="Note de fin Car"/>
    <w:semiHidden/>
    <w:qFormat/>
    <w:rPr>
      <w:lang w:val="en-GB" w:eastAsia="en-US"/>
    </w:rPr>
  </w:style>
  <w:style w:type="character" w:styleId="EndnoteCharacters">
    <w:name w:val="Endnote Characters"/>
    <w:semiHidden/>
    <w:unhideWhenUsed/>
    <w:qFormat/>
    <w:rPr>
      <w:vertAlign w:val="superscript"/>
    </w:rPr>
  </w:style>
  <w:style w:type="character" w:styleId="EndnoteAnchor">
    <w:name w:val="Endnote Reference"/>
    <w:rPr>
      <w:vertAlign w:val="superscript"/>
    </w:rPr>
  </w:style>
  <w:style w:type="character" w:styleId="VocabulaireCar" w:customStyle="1">
    <w:name w:val="Vocabulaire Car"/>
    <w:qFormat/>
    <w:rPr>
      <w:i/>
      <w:iCs/>
      <w:sz w:val="24"/>
      <w:szCs w:val="24"/>
      <w:lang w:val="tr-TR" w:eastAsia="en-US"/>
    </w:rPr>
  </w:style>
  <w:style w:type="character" w:styleId="DialogueCar" w:customStyle="1">
    <w:name w:val="Dialogue Car"/>
    <w:qFormat/>
    <w:rPr>
      <w:sz w:val="24"/>
      <w:szCs w:val="24"/>
      <w:lang w:eastAsia="en-US"/>
    </w:rPr>
  </w:style>
  <w:style w:type="character" w:styleId="CommentaireCar" w:customStyle="1">
    <w:name w:val="Commentaire Car"/>
    <w:qFormat/>
    <w:rPr>
      <w:sz w:val="24"/>
      <w:lang w:eastAsia="en-US"/>
    </w:rPr>
  </w:style>
  <w:style w:type="character" w:styleId="En-tteCar" w:customStyle="1">
    <w:name w:val="En-tête Car"/>
    <w:qFormat/>
    <w:rPr>
      <w:sz w:val="24"/>
      <w:szCs w:val="24"/>
      <w:lang w:val="en-GB" w:eastAsia="en-US"/>
    </w:rPr>
  </w:style>
  <w:style w:type="character" w:styleId="PieddepageCar" w:customStyle="1">
    <w:name w:val="Pied de page Car"/>
    <w:semiHidden/>
    <w:qFormat/>
    <w:rPr>
      <w:sz w:val="24"/>
      <w:szCs w:val="24"/>
      <w:lang w:val="en-GB" w:eastAsia="en-US"/>
    </w:rPr>
  </w:style>
  <w:style w:type="character" w:styleId="Titre4Car" w:customStyle="1">
    <w:name w:val="Titre 4 Car"/>
    <w:qFormat/>
    <w:rPr>
      <w:i/>
      <w:sz w:val="24"/>
      <w:szCs w:val="24"/>
      <w:lang w:eastAsia="en-US"/>
    </w:rPr>
  </w:style>
  <w:style w:type="character" w:styleId="Titre2Car" w:customStyle="1">
    <w:name w:val="Titre 2 Car"/>
    <w:qFormat/>
    <w:rPr>
      <w:rFonts w:ascii="Arial" w:hAnsi="Arial" w:eastAsia="MS Mincho" w:cs="Arial"/>
      <w:caps/>
      <w:sz w:val="24"/>
      <w:szCs w:val="24"/>
      <w:lang w:val="tr-TR" w:eastAsia="en-US"/>
    </w:rPr>
  </w:style>
  <w:style w:type="character" w:styleId="Emphasis">
    <w:name w:val="Emphasis"/>
    <w:qFormat/>
    <w:rPr>
      <w:i/>
      <w:iCs/>
    </w:rPr>
  </w:style>
  <w:style w:type="character" w:styleId="Strong">
    <w:name w:val="Strong"/>
    <w:qFormat/>
    <w:rPr>
      <w:b/>
      <w:bCs/>
    </w:rPr>
  </w:style>
  <w:style w:type="character" w:styleId="Titre3Car" w:customStyle="1">
    <w:name w:val="Titre 3 Car"/>
    <w:qFormat/>
    <w:rPr>
      <w:rFonts w:ascii="Verdana" w:hAnsi="Verdana" w:cs="Arial"/>
      <w:b/>
      <w:i/>
      <w:iCs/>
      <w:szCs w:val="24"/>
      <w:lang w:val="tr-TR" w:eastAsia="en-US"/>
    </w:rPr>
  </w:style>
  <w:style w:type="character" w:styleId="Annotationreference">
    <w:name w:val="annotation reference"/>
    <w:semiHidden/>
    <w:unhideWhenUsed/>
    <w:qFormat/>
    <w:rPr>
      <w:sz w:val="16"/>
      <w:szCs w:val="16"/>
    </w:rPr>
  </w:style>
  <w:style w:type="character" w:styleId="ObjetducommentaireCar" w:customStyle="1">
    <w:name w:val="Objet du commentaire Car"/>
    <w:semiHidden/>
    <w:qFormat/>
    <w:rPr>
      <w:b/>
      <w:bCs/>
      <w:sz w:val="24"/>
      <w:lang w:val="en-GB" w:eastAsia="en-US"/>
    </w:rPr>
  </w:style>
  <w:style w:type="character" w:styleId="TextedebullesCar" w:customStyle="1">
    <w:name w:val="Texte de bulles Car"/>
    <w:semiHidden/>
    <w:qFormat/>
    <w:rPr>
      <w:rFonts w:ascii="Tahoma" w:hAnsi="Tahoma" w:cs="Tahoma"/>
      <w:sz w:val="16"/>
      <w:szCs w:val="16"/>
      <w:lang w:val="en-GB" w:eastAsia="en-US"/>
    </w:rPr>
  </w:style>
  <w:style w:type="character" w:styleId="Titre5Car" w:customStyle="1">
    <w:name w:val="Titre 5 Car"/>
    <w:qFormat/>
    <w:rPr>
      <w:i/>
      <w:iCs/>
      <w:sz w:val="24"/>
      <w:szCs w:val="26"/>
      <w:lang w:eastAsia="en-US"/>
    </w:rPr>
  </w:style>
  <w:style w:type="character" w:styleId="CitationCar" w:customStyle="1">
    <w:name w:val="Citation Car"/>
    <w:qFormat/>
    <w:rPr>
      <w:rFonts w:ascii="Garamond" w:hAnsi="Garamond" w:eastAsia="MS Mincho"/>
      <w:sz w:val="23"/>
      <w:lang w:eastAsia="en-US"/>
    </w:rPr>
  </w:style>
  <w:style w:type="character" w:styleId="NotedebasdepageCar" w:customStyle="1">
    <w:name w:val="Note de bas de page Car"/>
    <w:semiHidden/>
    <w:qFormat/>
    <w:rPr>
      <w:lang w:val="en-GB" w:eastAsia="en-US"/>
    </w:rPr>
  </w:style>
  <w:style w:type="character" w:styleId="FootnoteCharacters">
    <w:name w:val="Footnote Characters"/>
    <w:semiHidden/>
    <w:unhideWhenUsed/>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 w:customStyle="1">
    <w:name w:val="Biblio"/>
    <w:basedOn w:val="Normal"/>
    <w:qFormat/>
    <w:pPr>
      <w:suppressAutoHyphens w:val="true"/>
      <w:overflowPunct w:val="false"/>
      <w:spacing w:lineRule="auto" w:line="360"/>
      <w:ind w:left="397" w:hanging="397"/>
      <w:jc w:val="both"/>
      <w:textAlignment w:val="baseline"/>
    </w:pPr>
    <w:rPr>
      <w:rFonts w:ascii="Garamond" w:hAnsi="Garamond"/>
      <w:szCs w:val="22"/>
      <w:lang w:val="fr-FR"/>
    </w:rPr>
  </w:style>
  <w:style w:type="paragraph" w:styleId="Quote">
    <w:name w:val="Quote"/>
    <w:basedOn w:val="Normal"/>
    <w:next w:val="Normal"/>
    <w:qFormat/>
    <w:pPr>
      <w:tabs>
        <w:tab w:val="clear" w:pos="720"/>
        <w:tab w:val="left" w:pos="1134" w:leader="none"/>
      </w:tabs>
      <w:overflowPunct w:val="false"/>
      <w:spacing w:before="240" w:after="360"/>
      <w:ind w:left="709" w:hanging="0"/>
      <w:jc w:val="both"/>
      <w:textAlignment w:val="baseline"/>
    </w:pPr>
    <w:rPr>
      <w:rFonts w:ascii="Garamond" w:hAnsi="Garamond" w:eastAsia="MS Mincho"/>
      <w:sz w:val="23"/>
      <w:szCs w:val="20"/>
      <w:lang w:val="fr-FR"/>
    </w:rPr>
  </w:style>
  <w:style w:type="paragraph" w:styleId="DocumentMap">
    <w:name w:val="Document Map"/>
    <w:basedOn w:val="Normal"/>
    <w:semiHidden/>
    <w:qFormat/>
    <w:pPr>
      <w:shd w:val="clear" w:color="auto" w:fill="000080"/>
    </w:pPr>
    <w:rPr>
      <w:rFonts w:ascii="Tahoma" w:hAnsi="Tahoma" w:cs="Tahoma"/>
    </w:rPr>
  </w:style>
  <w:style w:type="paragraph" w:styleId="Endnote">
    <w:name w:val="Endnote Text"/>
    <w:basedOn w:val="Normal"/>
    <w:semiHidden/>
    <w:unhideWhenUsed/>
    <w:pPr/>
    <w:rPr>
      <w:sz w:val="20"/>
      <w:szCs w:val="20"/>
    </w:rPr>
  </w:style>
  <w:style w:type="paragraph" w:styleId="Vocabulaire" w:customStyle="1">
    <w:name w:val="Vocabulaire"/>
    <w:basedOn w:val="Normal"/>
    <w:qFormat/>
    <w:pPr>
      <w:ind w:left="4320" w:hanging="0"/>
    </w:pPr>
    <w:rPr>
      <w:i/>
      <w:iCs/>
      <w:lang w:val="tr-TR"/>
    </w:rPr>
  </w:style>
  <w:style w:type="paragraph" w:styleId="Dialogue" w:customStyle="1">
    <w:name w:val="Dialogue"/>
    <w:basedOn w:val="Normal"/>
    <w:qFormat/>
    <w:pPr>
      <w:numPr>
        <w:ilvl w:val="0"/>
        <w:numId w:val="1"/>
      </w:numPr>
    </w:pPr>
    <w:rPr>
      <w:lang w:val="fr-FR"/>
    </w:rPr>
  </w:style>
  <w:style w:type="paragraph" w:styleId="Annotationtext">
    <w:name w:val="annotation text"/>
    <w:basedOn w:val="Normal"/>
    <w:unhideWhenUsed/>
    <w:qFormat/>
    <w:pPr>
      <w:spacing w:before="240" w:after="120"/>
    </w:pPr>
    <w:rPr>
      <w:szCs w:val="20"/>
      <w:lang w:val="fr-FR"/>
    </w:rPr>
  </w:style>
  <w:style w:type="paragraph" w:styleId="HeaderandFooter">
    <w:name w:val="Header and Footer"/>
    <w:basedOn w:val="Normal"/>
    <w:qFormat/>
    <w:pPr/>
    <w:rPr/>
  </w:style>
  <w:style w:type="paragraph" w:styleId="Header">
    <w:name w:val="Header"/>
    <w:basedOn w:val="Normal"/>
    <w:unhideWhenUsed/>
    <w:pPr>
      <w:tabs>
        <w:tab w:val="clear" w:pos="720"/>
        <w:tab w:val="center" w:pos="4536" w:leader="none"/>
        <w:tab w:val="right" w:pos="9072" w:leader="none"/>
      </w:tabs>
    </w:pPr>
    <w:rPr/>
  </w:style>
  <w:style w:type="paragraph" w:styleId="Footer">
    <w:name w:val="Footer"/>
    <w:basedOn w:val="Normal"/>
    <w:unhideWhenUsed/>
    <w:pPr>
      <w:tabs>
        <w:tab w:val="clear" w:pos="720"/>
        <w:tab w:val="center" w:pos="4536" w:leader="none"/>
        <w:tab w:val="right" w:pos="9072" w:leader="none"/>
      </w:tabs>
    </w:pPr>
    <w:rPr/>
  </w:style>
  <w:style w:type="paragraph" w:styleId="Metin" w:customStyle="1">
    <w:name w:val="metin"/>
    <w:basedOn w:val="Normal"/>
    <w:qFormat/>
    <w:pPr>
      <w:spacing w:beforeAutospacing="1" w:afterAutospacing="1"/>
    </w:pPr>
    <w:rPr>
      <w:lang w:val="fr-FR" w:eastAsia="fr-FR"/>
    </w:rPr>
  </w:style>
  <w:style w:type="paragraph" w:styleId="Annotationsubject">
    <w:name w:val="annotation subject"/>
    <w:basedOn w:val="Annotationtext"/>
    <w:next w:val="Annotationtext"/>
    <w:semiHidden/>
    <w:unhideWhenUsed/>
    <w:qFormat/>
    <w:pPr>
      <w:spacing w:before="0" w:after="0"/>
    </w:pPr>
    <w:rPr>
      <w:b/>
      <w:bCs/>
      <w:sz w:val="20"/>
      <w:lang w:val="en-GB"/>
    </w:rPr>
  </w:style>
  <w:style w:type="paragraph" w:styleId="BalloonText">
    <w:name w:val="Balloon Text"/>
    <w:basedOn w:val="Normal"/>
    <w:semiHidden/>
    <w:unhideWhenUsed/>
    <w:qFormat/>
    <w:pPr/>
    <w:rPr>
      <w:rFonts w:ascii="Tahoma" w:hAnsi="Tahoma" w:cs="Tahoma"/>
      <w:sz w:val="16"/>
      <w:szCs w:val="16"/>
    </w:rPr>
  </w:style>
  <w:style w:type="paragraph" w:styleId="ListParagraph">
    <w:name w:val="List Paragraph"/>
    <w:basedOn w:val="Normal"/>
    <w:qFormat/>
    <w:pPr>
      <w:ind w:left="708" w:hanging="0"/>
    </w:pPr>
    <w:rPr/>
  </w:style>
  <w:style w:type="paragraph" w:styleId="Revision">
    <w:name w:val="Revision"/>
    <w:semiHidden/>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Encadr" w:customStyle="1">
    <w:name w:val="Encadré"/>
    <w:basedOn w:val="Normal"/>
    <w:qFormat/>
    <w:pPr>
      <w:overflowPunct w:val="false"/>
      <w:spacing w:lineRule="auto" w:line="360"/>
      <w:jc w:val="both"/>
      <w:textAlignment w:val="baseline"/>
    </w:pPr>
    <w:rPr>
      <w:rFonts w:ascii="Arial" w:hAnsi="Arial" w:cs="Arial"/>
      <w:sz w:val="18"/>
      <w:szCs w:val="18"/>
      <w:lang w:val="fr-FR"/>
    </w:rPr>
  </w:style>
  <w:style w:type="paragraph" w:styleId="Exergue" w:customStyle="1">
    <w:name w:val="Exergue"/>
    <w:basedOn w:val="Normal"/>
    <w:qFormat/>
    <w:pPr>
      <w:spacing w:beforeAutospacing="1" w:afterAutospacing="1"/>
      <w:jc w:val="right"/>
    </w:pPr>
    <w:rPr>
      <w:rFonts w:ascii="Arial Narrow" w:hAnsi="Arial Narrow"/>
      <w:sz w:val="20"/>
      <w:lang w:val="tr-TR"/>
    </w:rPr>
  </w:style>
  <w:style w:type="paragraph" w:styleId="Footnote">
    <w:name w:val="Footnote Text"/>
    <w:basedOn w:val="Normal"/>
    <w:semiHidden/>
    <w:unhideWhenUsed/>
    <w:pPr/>
    <w:rPr>
      <w:sz w:val="20"/>
      <w:szCs w:val="20"/>
    </w:rPr>
  </w:style>
  <w:style w:type="paragraph" w:styleId="NormalWeb">
    <w:name w:val="Normal (Web)"/>
    <w:basedOn w:val="Normal"/>
    <w:semiHidden/>
    <w:unhideWhenUsed/>
    <w:qFormat/>
    <w:pPr>
      <w:spacing w:beforeAutospacing="1" w:afterAutospacing="1"/>
    </w:pPr>
    <w:rPr>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c36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CD4807C-1645-4763-9C54-07ECC39D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LibreOffice/7.5.6.2$Linux_X86_64 LibreOffice_project/50$Build-2</Application>
  <AppVersion>15.0000</AppVersion>
  <Pages>5</Pages>
  <Words>916</Words>
  <Characters>4500</Characters>
  <CharactersWithSpaces>5354</CharactersWithSpaces>
  <Paragraphs>125</Paragraphs>
  <Company>CNRS / EHESS Paris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2023-09-17T19:41:00Z</dcterms:created>
  <dc:creator>Marc</dc:creator>
  <dc:description/>
  <dc:language>en-US</dc:language>
  <cp:lastModifiedBy/>
  <cp:lastPrinted>2017-02-28T13:19:00Z</cp:lastPrinted>
  <dcterms:modified xsi:type="dcterms:W3CDTF">2023-10-02T17:25:29Z</dcterms:modified>
  <cp:revision>22</cp:revision>
  <dc:subject/>
  <dc:title>Türkçe dersleri</dc:title>
</cp:coreProperties>
</file>

<file path=docProps/custom.xml><?xml version="1.0" encoding="utf-8"?>
<Properties xmlns="http://schemas.openxmlformats.org/officeDocument/2006/custom-properties" xmlns:vt="http://schemas.openxmlformats.org/officeDocument/2006/docPropsVTypes"/>
</file>