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 xml:space="preserve">Ne haber? </w:t>
      </w:r>
      <w:r>
        <w:rPr/>
        <w:t>(tournure parlée, haberler = les nouvelles)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</w:t>
      </w:r>
      <w:r>
        <w:rPr/>
        <w:t>sınız ?</w:t>
      </w:r>
    </w:p>
    <w:p>
      <w:pPr>
        <w:pStyle w:val="Dialogue"/>
        <w:numPr>
          <w:ilvl w:val="0"/>
          <w:numId w:val="6"/>
        </w:numPr>
        <w:rPr/>
      </w:pPr>
      <w:r>
        <w:rPr/>
        <w:t>İyi</w:t>
      </w:r>
      <w:r>
        <w:rPr/>
        <w:t>yim.</w:t>
      </w:r>
      <w:r>
        <w:rPr/>
        <w:t xml:space="preserve"> Sen nası</w:t>
      </w:r>
      <w:r>
        <w:rPr/>
        <w:t>lsın</w:t>
      </w:r>
      <w:r>
        <w:rPr/>
        <w:t>?</w:t>
      </w:r>
    </w:p>
    <w:p>
      <w:pPr>
        <w:pStyle w:val="Dialogue"/>
        <w:numPr>
          <w:ilvl w:val="0"/>
          <w:numId w:val="6"/>
        </w:numPr>
        <w:rPr/>
      </w:pPr>
      <w:r>
        <w:rPr/>
        <w:t>Biz</w:t>
      </w:r>
      <w:r>
        <w:rPr/>
        <w:t xml:space="preserve"> de iyi</w:t>
      </w:r>
      <w:r>
        <w:rPr/>
        <w:t>yiz (ou Ben de iyiyim),</w:t>
      </w:r>
      <w:r>
        <w:rPr/>
        <w:t xml:space="preserve">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</w:rPr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  <w:i w:val="false"/>
                <w:i w:val="false"/>
              </w:rPr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 xml:space="preserve">Fransa’daki École normale supérieure’den öğrenmekteyim. Hem de ara </w:t>
      </w:r>
      <w:r>
        <w:rPr/>
        <w:t xml:space="preserve">(intervalle) </w:t>
      </w:r>
      <w:r>
        <w:rPr/>
        <w:t xml:space="preserve">sıra </w:t>
      </w:r>
      <w:r>
        <w:rPr/>
        <w:t>(rang/tour de passage)</w:t>
      </w:r>
      <w:r>
        <w:rPr/>
        <w:t xml:space="preserve"> Türkiye’ye gidiyor</w:t>
      </w:r>
      <w:r>
        <w:rPr/>
        <w:t>(um)</w:t>
      </w:r>
      <w:r>
        <w:rPr/>
        <w:t xml:space="preserve">, pratik yapıyorum. </w:t>
      </w:r>
      <w:r>
        <w:rPr/>
        <w:t>=&gt; öğren = apprendre de, git = , yapı = , ara sıra = de temps à autres (parfois agglutiné).</w:t>
      </w:r>
    </w:p>
    <w:p>
      <w:pPr>
        <w:pStyle w:val="Dialogue"/>
        <w:numPr>
          <w:ilvl w:val="0"/>
          <w:numId w:val="6"/>
        </w:numPr>
        <w:rPr/>
      </w:pPr>
      <w:r>
        <w:rPr/>
        <w:t xml:space="preserve">Türkçe gerçekten güzel konuşuyorsun vallahi ! </w:t>
      </w:r>
      <w:r>
        <w:rPr/>
        <w:t>=&gt; konuş  = parler, gerçek = réalité</w:t>
      </w:r>
    </w:p>
    <w:p>
      <w:pPr>
        <w:pStyle w:val="Dialogue"/>
        <w:numPr>
          <w:ilvl w:val="0"/>
          <w:numId w:val="6"/>
        </w:numPr>
        <w:rPr/>
      </w:pPr>
      <w:r>
        <w:rPr/>
        <w:t xml:space="preserve">Teşekkürler. Uğraşıyoruz işte! </w:t>
      </w:r>
      <w:r>
        <w:rPr/>
        <w:t>=&gt; teşekkürler = beaucoup de mercis, uğraş = faire des effort,  işte = ben voilà quoi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 xml:space="preserve">Sınıfım. </w:t>
      </w:r>
      <w:r>
        <w:rPr>
          <w:lang w:val="fr-FR"/>
        </w:rPr>
        <w:t>=&gt; Sınıf = classe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Şoför…</w:t>
        <w:tab/>
        <w:tab/>
        <w:tab/>
        <w:t>Bu ne?</w:t>
        <w:tab/>
        <w:tab/>
      </w:r>
      <w:r>
        <w:rPr>
          <w:lang w:val="de-DE"/>
        </w:rPr>
        <w:t>Otobüs…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Doktor…</w:t>
        <w:tab/>
        <w:tab/>
        <w:tab/>
        <w:t>Bu ne?</w:t>
        <w:tab/>
        <w:tab/>
      </w:r>
      <w:r>
        <w:rPr>
          <w:lang w:val="it-IT"/>
        </w:rPr>
        <w:t>Hasta…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Gazeteci…</w:t>
        <w:tab/>
        <w:tab/>
        <w:tab/>
        <w:t>Bu ne?</w:t>
        <w:tab/>
        <w:tab/>
        <w:t>Gazete…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Biletçi…</w:t>
        <w:tab/>
        <w:tab/>
        <w:tab/>
        <w:t>Bu ne?</w:t>
        <w:tab/>
        <w:tab/>
        <w:t>Bilet…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Dükkancı…</w:t>
        <w:tab/>
        <w:tab/>
        <w:tab/>
        <w:t>Bu ne?</w:t>
        <w:tab/>
        <w:tab/>
        <w:t>Dükkan…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Aşçı…</w:t>
        <w:tab/>
        <w:tab/>
        <w:tab/>
        <w:tab/>
        <w:t>Bu ne?</w:t>
        <w:tab/>
        <w:tab/>
        <w:t>Mutfak…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Lokantacı…</w:t>
        <w:tab/>
        <w:tab/>
        <w:tab/>
        <w:t>Bu ne?</w:t>
        <w:tab/>
        <w:tab/>
        <w:t>Lokanta…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Baba…</w:t>
        <w:tab/>
        <w:tab/>
        <w:tab/>
        <w:t>Bu ne?</w:t>
        <w:tab/>
        <w:tab/>
        <w:t>Aile…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Anne…</w:t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ocuk…</w:t>
        <w:tab/>
        <w:tab/>
        <w:tab/>
        <w:t>Bu ne?</w:t>
        <w:tab/>
        <w:tab/>
      </w:r>
      <w:r>
        <w:rPr>
          <w:lang w:val="fr-FR"/>
        </w:rPr>
        <w:t>Baba…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>
          <w:i/>
          <w:i/>
          <w:iCs/>
          <w:u w:val="single"/>
        </w:rPr>
      </w:pPr>
      <w:r>
        <w:rPr>
          <w:i/>
          <w:iCs/>
        </w:rPr>
        <w:t>kolay gelsin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=  que cela vous semble facile = bon courage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kalsın</w:t>
      </w:r>
      <w:r>
        <w:rPr>
          <w:i/>
          <w:iCs/>
          <w:u w:val="none"/>
        </w:rPr>
        <w:t xml:space="preserve"> = gardez = que cela reste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geçmiş olsun </w:t>
      </w:r>
      <w:r>
        <w:rPr>
          <w:i w:val="false"/>
          <w:iCs w:val="false"/>
          <w:u w:val="none"/>
        </w:rPr>
        <w:t xml:space="preserve">= que cela soit passé = bon rétablissement 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bereket versin </w:t>
      </w:r>
      <w:r>
        <w:rPr>
          <w:i/>
          <w:iCs/>
          <w:u w:val="none"/>
        </w:rPr>
        <w:t>= sois béni = bénédiction dans tes affaires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başınız sağ olsun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= que votre chef soit sain = toutes mes condoléances (hors répertoire islamique)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toprağı bol olsun </w:t>
      </w:r>
      <w:r>
        <w:rPr>
          <w:i/>
          <w:iCs/>
          <w:u w:val="none"/>
        </w:rPr>
        <w:t>= que sa terre soit abondante = que le salut vienne au défunt  (pour les non-musulmans?)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Allah korusun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= que Dieu protège</w:t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>
          <w:lang w:val="tr-TR"/>
        </w:rPr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saat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>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 cuisinier est dans ta cuisine</w:t>
        <w:tab/>
        <w:t xml:space="preserve"> ……………………………………………………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 étudiants sont dans votre classe</w:t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As-tu mon argent ?</w:t>
        <w:tab/>
        <w:tab/>
        <w:t xml:space="preserve"> ………………………………………………………</w:t>
      </w:r>
    </w:p>
    <w:p>
      <w:pPr>
        <w:pStyle w:val="Encadr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 cette pâtisserie soit celle de nos amis ! ……………………………………………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>………………………………………………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tab/>
        <w:t>………………………………………………………………………………………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LibreOffice/7.5.7.1$Linux_X86_64 LibreOffice_project/50$Build-1</Application>
  <AppVersion>15.0000</AppVersion>
  <Pages>4</Pages>
  <Words>749</Words>
  <Characters>3936</Characters>
  <CharactersWithSpaces>4595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2023-11-06T17:59:22Z</dcterms:modified>
  <cp:revision>27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