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0078D4"/>
          <w:sz w:val="28"/>
          <w:szCs w:val="28"/>
        </w:rPr>
        <w:t xml:space="preserve">Project Online → Planner Premium</w:t>
      </w:r>
    </w:p>
    <w:p>
      <w:pPr>
        <w:spacing w:after="600"/>
        <w:jc w:val="center"/>
      </w:pPr>
      <w:r>
        <w:rPr>
          <w:b/>
          <w:bCs/>
          <w:color w:val="0078D4"/>
          <w:sz w:val="28"/>
          <w:szCs w:val="28"/>
        </w:rPr>
        <w:t xml:space="preserve">Migration Tool</w:t>
      </w:r>
    </w:p>
    <w:p>
      <w:pPr>
        <w:spacing w:after="120"/>
        <w:jc w:val="center"/>
      </w:pPr>
      <w:r>
        <w:rPr>
          <w:b/>
          <w:bCs/>
          <w:color w:val="004E8C"/>
          <w:sz w:val="56"/>
          <w:szCs w:val="56"/>
        </w:rPr>
        <w:t xml:space="preserve">Functional Description</w:t>
      </w:r>
    </w:p>
    <w:p>
      <w:pPr>
        <w:spacing w:after="1800"/>
        <w:jc w:val="center"/>
      </w:pPr>
      <w:r>
        <w:rPr>
          <w:i/>
          <w:iCs/>
          <w:color w:val="616161"/>
          <w:sz w:val="26"/>
          <w:szCs w:val="26"/>
        </w:rPr>
        <w:t xml:space="preserve">What the application does, how it does it, and which choices it offers</w:t>
      </w:r>
    </w:p>
    <w:p>
      <w:pPr>
        <w:pBdr>
          <w:top w:val="single" w:color="0078D4" w:sz="6" w:space="8"/>
        </w:pBdr>
        <w:spacing w:after="120" w:before="120"/>
        <w:jc w:val="center"/>
      </w:pPr>
    </w:p>
    <w:p>
      <w:pPr>
        <w:spacing w:after="80"/>
        <w:jc w:val="center"/>
      </w:pPr>
      <w:r>
        <w:rPr>
          <w:color w:val="242424"/>
          <w:sz w:val="22"/>
          <w:szCs w:val="22"/>
        </w:rPr>
        <w:t xml:space="preserve">Version 1.0</w:t>
      </w:r>
    </w:p>
    <w:p>
      <w:pPr>
        <w:spacing w:after="80"/>
        <w:jc w:val="center"/>
      </w:pPr>
      <w:r>
        <w:rPr>
          <w:color w:val="242424"/>
          <w:sz w:val="22"/>
          <w:szCs w:val="22"/>
        </w:rPr>
        <w:t xml:space="preserve">May 2026</w:t>
      </w:r>
    </w:p>
    <w:p>
      <w:pPr>
        <w:spacing w:after="80"/>
        <w:jc w:val="center"/>
      </w:pPr>
      <w:r>
        <w:rPr>
          <w:color w:val="242424"/>
          <w:sz w:val="22"/>
          <w:szCs w:val="22"/>
        </w:rPr>
        <w:t xml:space="preserve">For project sponsors, business analysts, and new team members</w:t>
      </w:r>
    </w:p>
    <w:p>
      <w:r>
        <w:br w:type="page"/>
      </w:r>
    </w:p>
    <w:p>
      <w:pPr>
        <w:pStyle w:val="Heading1"/>
      </w:pPr>
      <w:r>
        <w:t xml:space="preserve">Contents</w:t>
      </w:r>
    </w:p>
    <w:p>
      <w:pPr>
        <w:pStyle w:val="ListParagraph"/>
        <w:numPr>
          <w:ilvl w:val="0"/>
          <w:numId w:val="2"/>
        </w:numPr>
        <w:spacing w:after="60"/>
      </w:pPr>
      <w:r>
        <w:t xml:space="preserve">1. Purpose and scope</w:t>
      </w:r>
    </w:p>
    <w:p>
      <w:pPr>
        <w:pStyle w:val="ListParagraph"/>
        <w:numPr>
          <w:ilvl w:val="0"/>
          <w:numId w:val="2"/>
        </w:numPr>
        <w:spacing w:after="60"/>
      </w:pPr>
      <w:r>
        <w:t xml:space="preserve">2. Audience and intended use</w:t>
      </w:r>
    </w:p>
    <w:p>
      <w:pPr>
        <w:pStyle w:val="ListParagraph"/>
        <w:numPr>
          <w:ilvl w:val="0"/>
          <w:numId w:val="2"/>
        </w:numPr>
        <w:spacing w:after="60"/>
      </w:pPr>
      <w:r>
        <w:t xml:space="preserve">3. The migration problem in plain language</w:t>
      </w:r>
    </w:p>
    <w:p>
      <w:pPr>
        <w:pStyle w:val="ListParagraph"/>
        <w:numPr>
          <w:ilvl w:val="0"/>
          <w:numId w:val="2"/>
        </w:numPr>
        <w:spacing w:after="60"/>
      </w:pPr>
      <w:r>
        <w:t xml:space="preserve">4. Conceptual architecture</w:t>
      </w:r>
    </w:p>
    <w:p>
      <w:pPr>
        <w:pStyle w:val="ListParagraph"/>
        <w:numPr>
          <w:ilvl w:val="0"/>
          <w:numId w:val="2"/>
        </w:numPr>
        <w:spacing w:after="60"/>
      </w:pPr>
      <w:r>
        <w:t xml:space="preserve">5. The five wizard steps</w:t>
      </w:r>
    </w:p>
    <w:p>
      <w:pPr>
        <w:pStyle w:val="ListParagraph"/>
        <w:numPr>
          <w:ilvl w:val="0"/>
          <w:numId w:val="2"/>
        </w:numPr>
        <w:spacing w:after="60"/>
      </w:pPr>
      <w:r>
        <w:t xml:space="preserve">6. The three migration modes</w:t>
      </w:r>
    </w:p>
    <w:p>
      <w:pPr>
        <w:pStyle w:val="ListParagraph"/>
        <w:numPr>
          <w:ilvl w:val="0"/>
          <w:numId w:val="2"/>
        </w:numPr>
        <w:spacing w:after="60"/>
      </w:pPr>
      <w:r>
        <w:t xml:space="preserve">7. The two data sources</w:t>
      </w:r>
    </w:p>
    <w:p>
      <w:pPr>
        <w:pStyle w:val="ListParagraph"/>
        <w:numPr>
          <w:ilvl w:val="0"/>
          <w:numId w:val="2"/>
        </w:numPr>
        <w:spacing w:after="60"/>
      </w:pPr>
      <w:r>
        <w:t xml:space="preserve">8. Field mapping and type detection</w:t>
      </w:r>
    </w:p>
    <w:p>
      <w:pPr>
        <w:pStyle w:val="ListParagraph"/>
        <w:numPr>
          <w:ilvl w:val="0"/>
          <w:numId w:val="2"/>
        </w:numPr>
        <w:spacing w:after="60"/>
      </w:pPr>
      <w:r>
        <w:t xml:space="preserve">9. Custom fields, choice sets, and lookup tables</w:t>
      </w:r>
    </w:p>
    <w:p>
      <w:pPr>
        <w:pStyle w:val="ListParagraph"/>
        <w:numPr>
          <w:ilvl w:val="0"/>
          <w:numId w:val="2"/>
        </w:numPr>
        <w:spacing w:after="60"/>
      </w:pPr>
      <w:r>
        <w:t xml:space="preserve">10. The import process</w:t>
      </w:r>
    </w:p>
    <w:p>
      <w:pPr>
        <w:pStyle w:val="ListParagraph"/>
        <w:numPr>
          <w:ilvl w:val="0"/>
          <w:numId w:val="2"/>
        </w:numPr>
        <w:spacing w:after="60"/>
      </w:pPr>
      <w:r>
        <w:t xml:space="preserve">11. Reporting and observability</w:t>
      </w:r>
    </w:p>
    <w:p>
      <w:pPr>
        <w:pStyle w:val="ListParagraph"/>
        <w:numPr>
          <w:ilvl w:val="0"/>
          <w:numId w:val="2"/>
        </w:numPr>
        <w:spacing w:after="60"/>
      </w:pPr>
      <w:r>
        <w:t xml:space="preserve">12. Constraints and known limitations</w:t>
      </w:r>
    </w:p>
    <w:p>
      <w:pPr>
        <w:pStyle w:val="ListParagraph"/>
        <w:numPr>
          <w:ilvl w:val="0"/>
          <w:numId w:val="2"/>
        </w:numPr>
        <w:spacing w:after="60"/>
      </w:pPr>
      <w:r>
        <w:t xml:space="preserve">13. Security and access</w:t>
      </w:r>
    </w:p>
    <w:p>
      <w:pPr>
        <w:pStyle w:val="ListParagraph"/>
        <w:numPr>
          <w:ilvl w:val="0"/>
          <w:numId w:val="2"/>
        </w:numPr>
        <w:spacing w:after="60"/>
      </w:pPr>
      <w:r>
        <w:t xml:space="preserve">14. Out-of-scope and future enhancements</w:t>
      </w:r>
    </w:p>
    <w:p>
      <w:r>
        <w:br w:type="page"/>
      </w:r>
    </w:p>
    <w:p>
      <w:pPr>
        <w:pStyle w:val="Heading1"/>
      </w:pPr>
      <w:r>
        <w:t xml:space="preserve">1. Purpose and scope</w:t>
      </w:r>
    </w:p>
    <w:p>
      <w:pPr>
        <w:spacing w:after="120"/>
      </w:pPr>
      <w:r>
        <w:t xml:space="preserve">The Project Online → Planner Premium Migration Tool is a self-contained, web-based application that automates the migration of project portfolio data from Microsoft Project Online (SharePoint / PWA-based) to Planner Premium — formerly known as Project for the Web — on Microsoft Dataverse.</w:t>
      </w:r>
    </w:p>
    <w:p>
      <w:pPr>
        <w:spacing w:after="120"/>
      </w:pPr>
      <w:r>
        <w:t xml:space="preserve">Its purpose is to reduce a complex, error-prone, multi-day manual process into a guided five-step wizard that any consultant familiar with both platforms can execute. The tool combines schema preparation (creating the columns and option sets the target needs) with data migration (writing the actual projects, tasks, and assignments) into a single repeatable workflow.</w:t>
      </w:r>
    </w:p>
    <w:p>
      <w:pPr>
        <w:pStyle w:val="Heading3"/>
      </w:pPr>
      <w:r>
        <w:t xml:space="preserve">1.1 What is in scope for the tool</w:t>
      </w:r>
    </w:p>
    <w:p>
      <w:pPr>
        <w:pStyle w:val="ListParagraph"/>
        <w:numPr>
          <w:ilvl w:val="0"/>
          <w:numId w:val="2"/>
        </w:numPr>
        <w:spacing w:after="60"/>
      </w:pPr>
      <w:r>
        <w:t xml:space="preserve">Reading project, task, resource, assignment, custom field, and lookup table data from a Project Online tenant via SharePoint OData APIs, or from an Excel workbook produced from the in-app template.</w:t>
      </w:r>
    </w:p>
    <w:p>
      <w:pPr>
        <w:pStyle w:val="ListParagraph"/>
        <w:numPr>
          <w:ilvl w:val="0"/>
          <w:numId w:val="2"/>
        </w:numPr>
        <w:spacing w:after="60"/>
      </w:pPr>
      <w:r>
        <w:t xml:space="preserve">Discovering and preparing the target Dataverse schema: creating custom columns on the standard Project for the Web tables, creating global option sets, and (where required) custom lookup entities with their entries.</w:t>
      </w:r>
    </w:p>
    <w:p>
      <w:pPr>
        <w:pStyle w:val="ListParagraph"/>
        <w:numPr>
          <w:ilvl w:val="0"/>
          <w:numId w:val="2"/>
        </w:numPr>
        <w:spacing w:after="60"/>
      </w:pPr>
      <w:r>
        <w:t xml:space="preserve">Mapping Project Online custom fields to Dataverse column types, with auto-detection and manual override.</w:t>
      </w:r>
    </w:p>
    <w:p>
      <w:pPr>
        <w:pStyle w:val="ListParagraph"/>
        <w:numPr>
          <w:ilvl w:val="0"/>
          <w:numId w:val="2"/>
        </w:numPr>
        <w:spacing w:after="60"/>
      </w:pPr>
      <w:r>
        <w:t xml:space="preserve">Writing project, task, dependency, resource, team member, and assignment records to Dataverse using the supported Project schedule and unbound action APIs.</w:t>
      </w:r>
    </w:p>
    <w:p>
      <w:pPr>
        <w:pStyle w:val="ListParagraph"/>
        <w:numPr>
          <w:ilvl w:val="0"/>
          <w:numId w:val="2"/>
        </w:numPr>
        <w:spacing w:after="60"/>
      </w:pPr>
      <w:r>
        <w:t xml:space="preserve">Producing a per-run validation report with success and failure counts, an exhaustive list of skipped records, and downloadable CSV exports.</w:t>
      </w:r>
    </w:p>
    <w:p>
      <w:pPr>
        <w:pStyle w:val="Heading3"/>
      </w:pPr>
      <w:r>
        <w:t xml:space="preserve">1.2 What is out of scope</w:t>
      </w:r>
    </w:p>
    <w:p>
      <w:pPr>
        <w:pStyle w:val="ListParagraph"/>
        <w:numPr>
          <w:ilvl w:val="0"/>
          <w:numId w:val="2"/>
        </w:numPr>
        <w:spacing w:after="60"/>
      </w:pPr>
      <w:r>
        <w:t xml:space="preserve">Migrating Project Online artefacts that have no direct Dataverse equivalent: project sites, document libraries, time sheets, baselines, calendars, and security settings.</w:t>
      </w:r>
    </w:p>
    <w:p>
      <w:pPr>
        <w:pStyle w:val="ListParagraph"/>
        <w:numPr>
          <w:ilvl w:val="0"/>
          <w:numId w:val="2"/>
        </w:numPr>
        <w:spacing w:after="60"/>
      </w:pPr>
      <w:r>
        <w:t xml:space="preserve">Two-way synchronisation or ongoing replication. The tool is a one-shot migration; subsequent runs against the same source/target combination simply re-import the selected projects (clearing and rebuilding their schedules).</w:t>
      </w:r>
    </w:p>
    <w:p>
      <w:pPr>
        <w:pStyle w:val="ListParagraph"/>
        <w:numPr>
          <w:ilvl w:val="0"/>
          <w:numId w:val="2"/>
        </w:numPr>
        <w:spacing w:after="60"/>
      </w:pPr>
      <w:r>
        <w:t xml:space="preserve">Bulk renaming, data cleansing, or business rule transformations beyond the field-type mapping decisions exposed in Step 2.</w:t>
      </w:r>
    </w:p>
    <w:p>
      <w:r>
        <w:br w:type="page"/>
      </w:r>
    </w:p>
    <w:p>
      <w:pPr>
        <w:pStyle w:val="Heading1"/>
      </w:pPr>
      <w:r>
        <w:t xml:space="preserve">2. Audience and intended use</w:t>
      </w:r>
    </w:p>
    <w:p>
      <w:pPr>
        <w:spacing w:after="120"/>
      </w:pPr>
      <w:r>
        <w:t xml:space="preserve">The application is designed to be operated by a migration consultant with working knowledge of both Project Online and the Power Platform / Dataverse. It is not intended for end users of either platform. The typical operator profile:</w:t>
      </w:r>
    </w:p>
    <w:p>
      <w:pPr>
        <w:pStyle w:val="ListParagraph"/>
        <w:numPr>
          <w:ilvl w:val="0"/>
          <w:numId w:val="2"/>
        </w:numPr>
        <w:spacing w:after="60"/>
      </w:pPr>
      <w:r>
        <w:t xml:space="preserve">Understands how Project Online stores projects, tasks, custom fields, and lookup tables.</w:t>
      </w:r>
    </w:p>
    <w:p>
      <w:pPr>
        <w:pStyle w:val="ListParagraph"/>
        <w:numPr>
          <w:ilvl w:val="0"/>
          <w:numId w:val="2"/>
        </w:numPr>
        <w:spacing w:after="60"/>
      </w:pPr>
      <w:r>
        <w:t xml:space="preserve">Understands how Dataverse stores columns, option sets, and lookup relationships, and can navigate the Power Platform admin center.</w:t>
      </w:r>
    </w:p>
    <w:p>
      <w:pPr>
        <w:pStyle w:val="ListParagraph"/>
        <w:numPr>
          <w:ilvl w:val="0"/>
          <w:numId w:val="2"/>
        </w:numPr>
        <w:spacing w:after="60"/>
      </w:pPr>
      <w:r>
        <w:t xml:space="preserve">Has been granted appropriate permissions on both the source and target environments.</w:t>
      </w:r>
    </w:p>
    <w:p>
      <w:pPr>
        <w:pStyle w:val="ListParagraph"/>
        <w:numPr>
          <w:ilvl w:val="0"/>
          <w:numId w:val="2"/>
        </w:numPr>
        <w:spacing w:after="60"/>
      </w:pPr>
      <w:r>
        <w:t xml:space="preserve">Is prepared to make a small number of judgement calls during Step 2 (field mapping), supported by sensible auto-detected defaults.</w:t>
      </w:r>
    </w:p>
    <w:p>
      <w:pPr>
        <w:spacing w:after="120"/>
      </w:pPr>
      <w:r>
        <w:t xml:space="preserve">In a typical engagement, the tool is run three times in sequence:</w:t>
      </w:r>
    </w:p>
    <w:p>
      <w:pPr>
        <w:pStyle w:val="ListParagraph"/>
        <w:numPr>
          <w:ilvl w:val="0"/>
          <w:numId w:val="3"/>
        </w:numPr>
        <w:spacing w:after="80"/>
      </w:pPr>
      <w:r>
        <w:rPr>
          <w:b/>
          <w:bCs/>
        </w:rPr>
        <w:t xml:space="preserve">Schema preparation </w:t>
      </w:r>
      <w:r>
        <w:t xml:space="preserve">— a single Schema only run that creates columns and option sets in the target. This usually happens against an empty environment as part of project setup.</w:t>
      </w:r>
    </w:p>
    <w:p>
      <w:pPr>
        <w:pStyle w:val="ListParagraph"/>
        <w:numPr>
          <w:ilvl w:val="0"/>
          <w:numId w:val="3"/>
        </w:numPr>
        <w:spacing w:after="80"/>
      </w:pPr>
      <w:r>
        <w:rPr>
          <w:b/>
          <w:bCs/>
        </w:rPr>
        <w:t xml:space="preserve">Pilot data run </w:t>
      </w:r>
      <w:r>
        <w:t xml:space="preserve">— a Data only run with 1–3 selected projects to validate that values land correctly, including custom fields, ownership, and assignments. Findings drive option-set tweaks or schema fixes in the target.</w:t>
      </w:r>
    </w:p>
    <w:p>
      <w:pPr>
        <w:pStyle w:val="ListParagraph"/>
        <w:numPr>
          <w:ilvl w:val="0"/>
          <w:numId w:val="3"/>
        </w:numPr>
        <w:spacing w:after="80"/>
      </w:pPr>
      <w:r>
        <w:rPr>
          <w:b/>
          <w:bCs/>
        </w:rPr>
        <w:t xml:space="preserve">Full data run </w:t>
      </w:r>
      <w:r>
        <w:t xml:space="preserve">— a Data only run with all projects in scope, executed during a defined migration window.</w:t>
      </w:r>
    </w:p>
    <w:p>
      <w:r>
        <w:br w:type="page"/>
      </w:r>
    </w:p>
    <w:p>
      <w:pPr>
        <w:pStyle w:val="Heading1"/>
      </w:pPr>
      <w:r>
        <w:t xml:space="preserve">3. The migration problem in plain language</w:t>
      </w:r>
    </w:p>
    <w:p>
      <w:pPr>
        <w:spacing w:after="120"/>
      </w:pPr>
      <w:r>
        <w:t xml:space="preserve">Project Online and Planner Premium are both Microsoft project portfolio products, but they are built on different platforms and use different data models. Project Online stores its data inside SharePoint lists with a custom set of OData endpoints; Planner Premium stores its data in standard Dataverse tables (msdyn_project, msdyn_projecttask, msdyn_projectteam) with the Power Platform stack on top.</w:t>
      </w:r>
    </w:p>
    <w:p>
      <w:pPr>
        <w:spacing w:after="120"/>
      </w:pPr>
      <w:r>
        <w:t xml:space="preserve">Migrating between them is not a question of exporting and importing — the data shapes are too different. The work has three distinct layers:</w:t>
      </w:r>
    </w:p>
    <w:p>
      <w:pPr>
        <w:pStyle w:val="Heading3"/>
      </w:pPr>
      <w:r>
        <w:t xml:space="preserve">3.1 Schema differences</w:t>
      </w:r>
    </w:p>
    <w:p>
      <w:pPr>
        <w:spacing w:after="120"/>
      </w:pPr>
      <w:r>
        <w:t xml:space="preserve">Project Online custom fields can be Text, Number, Date, Cost, Duration, Flag, Lookup, or LookupMulti. Each of these maps to a specific Dataverse column type — but only after a decision has been made about what should be a global option set vs a local choice column, what should be a Whole Number vs a Decimal Number, and whether existing target columns should be reused or new ones created. Lookup tables, which in Project Online are simple value lists, become either global option sets or custom Dataverse entities depending on how the target environment is being structured.</w:t>
      </w:r>
    </w:p>
    <w:p>
      <w:pPr>
        <w:pStyle w:val="Heading3"/>
      </w:pPr>
      <w:r>
        <w:t xml:space="preserve">3.2 Identifier mapping</w:t>
      </w:r>
    </w:p>
    <w:p>
      <w:pPr>
        <w:spacing w:after="120"/>
      </w:pPr>
      <w:r>
        <w:t xml:space="preserve">Project Online projects, tasks, and resources have GUIDs that mean nothing in Dataverse. Resources, in particular, must be matched to actual Dataverse system users or bookable resources before assignments can be written — a Project Online "Jane Smith" only becomes a real assignment if a Dataverse user with a matching email or display name exists. Where a match cannot be made, the assignment is skipped and reported.</w:t>
      </w:r>
    </w:p>
    <w:p>
      <w:pPr>
        <w:pStyle w:val="Heading3"/>
      </w:pPr>
      <w:r>
        <w:t xml:space="preserve">3.3 API constraints</w:t>
      </w:r>
    </w:p>
    <w:p>
      <w:pPr>
        <w:spacing w:after="120"/>
      </w:pPr>
      <w:r>
        <w:t xml:space="preserve">Writing to Planner Premium is not a matter of generic Dataverse REST calls. Projects must be created via the unbound action msdyn_CreateProjectV1; tasks, dependencies, and assignments must go through the Project schedule API, which uses an OperationSet pattern with a hard limit of around 180 operations per batch. Throughput is rate-limited. Tasks have a particular constraint: their custom field values cannot be set through the schedule API and so are not migrated.</w:t>
      </w:r>
    </w:p>
    <w:p>
      <w:pPr>
        <w:spacing w:after="120"/>
      </w:pPr>
      <w:r>
        <w:t xml:space="preserve">The tool encapsulates all three layers so the consultant does not have to.</w:t>
      </w:r>
    </w:p>
    <w:p>
      <w:r>
        <w:br w:type="page"/>
      </w:r>
    </w:p>
    <w:p>
      <w:pPr>
        <w:pStyle w:val="Heading1"/>
      </w:pPr>
      <w:r>
        <w:t xml:space="preserve">4. Conceptual architecture</w:t>
      </w:r>
    </w:p>
    <w:p>
      <w:pPr>
        <w:spacing w:after="120"/>
      </w:pPr>
      <w:r>
        <w:t xml:space="preserve">The application is a single-page Power Apps Code App. It runs inside Power Apps (in the user's browser, embedded in a Power Apps Solution) and is built on a standard modern web stack: React with TypeScript for the user interface, Fluent UI for layout and controls, and the official Power Apps SDK for calls to Dataverse and SharePoint.</w:t>
      </w:r>
    </w:p>
    <w:p>
      <w:pPr>
        <w:pStyle w:val="Heading3"/>
      </w:pPr>
      <w:r>
        <w:t xml:space="preserve">4.1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80"/>
        <w:gridCol w:w="2780"/>
      </w:tblGrid>
      <w:tr>
        <w:trPr>
          <w:tblHeader/>
        </w:trPr>
        <w:tc>
          <w:tcPr>
            <w:tcW w:type="dxa" w:w="220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Layer</w:t>
            </w:r>
          </w:p>
        </w:tc>
        <w:tc>
          <w:tcPr>
            <w:tcW w:type="dxa" w:w="438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Responsibility</w:t>
            </w:r>
          </w:p>
        </w:tc>
        <w:tc>
          <w:tcPr>
            <w:tcW w:type="dxa" w:w="278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Notable libraries / APIs</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User interface</w:t>
            </w:r>
          </w:p>
        </w:tc>
        <w:tc>
          <w:tcPr>
            <w:tcW w:type="dxa" w:w="438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Wizard flow, forms, tables, progress panels, log streams.</w:t>
            </w:r>
          </w:p>
        </w:tc>
        <w:tc>
          <w:tcPr>
            <w:tcW w:type="dxa" w:w="278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React, Fluent UI</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Wizard state</w:t>
            </w:r>
          </w:p>
        </w:tc>
        <w:tc>
          <w:tcPr>
            <w:tcW w:type="dxa" w:w="438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Holds mode, scope, source choice, target solution, mapping configuration, fetched data, results.</w:t>
            </w:r>
          </w:p>
        </w:tc>
        <w:tc>
          <w:tcPr>
            <w:tcW w:type="dxa" w:w="278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React context (MigrationContext)</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Source services</w:t>
            </w:r>
          </w:p>
        </w:tc>
        <w:tc>
          <w:tcPr>
            <w:tcW w:type="dxa" w:w="438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Reads from Project Online (SharePoint OData) or from the uploaded Excel workbook.</w:t>
            </w:r>
          </w:p>
        </w:tc>
        <w:tc>
          <w:tcPr>
            <w:tcW w:type="dxa" w:w="278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fetch, SheetJS / xlsx</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Target services</w:t>
            </w:r>
          </w:p>
        </w:tc>
        <w:tc>
          <w:tcPr>
            <w:tcW w:type="dxa" w:w="438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Inspects the target Dataverse schema, creates columns and option sets, writes projects, tasks, team members, and assignments.</w:t>
            </w:r>
          </w:p>
        </w:tc>
        <w:tc>
          <w:tcPr>
            <w:tcW w:type="dxa" w:w="278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Dataverse Web API, msdyn unbound actions, OperationSet API</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Reporting</w:t>
            </w:r>
          </w:p>
        </w:tc>
        <w:tc>
          <w:tcPr>
            <w:tcW w:type="dxa" w:w="438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Aggregates per-entity counts and per-record outcomes; produces CSV exports.</w:t>
            </w:r>
          </w:p>
        </w:tc>
        <w:tc>
          <w:tcPr>
            <w:tcW w:type="dxa" w:w="278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In-app utility</w:t>
            </w:r>
          </w:p>
        </w:tc>
      </w:tr>
    </w:tbl>
    <w:p>
      <w:pPr>
        <w:pStyle w:val="Heading3"/>
      </w:pPr>
      <w:r>
        <w:t xml:space="preserve">4.2 Hosted environment</w:t>
      </w:r>
    </w:p>
    <w:p>
      <w:pPr>
        <w:spacing w:after="120"/>
      </w:pPr>
      <w:r>
        <w:t xml:space="preserve">The application is packaged as a managed solution named MigrationToolApp and installed into the same Power Platform environment that will receive the migrated data, or into a separate dedicated migration environment. A single environment variable, Dataverse Organization URL, points the app at the target Dataverse organization. The application is multi-user safe but is not multi-tenant: one installation serves one target environment at a time.</w:t>
      </w:r>
    </w:p>
    <w:p>
      <w:pPr>
        <w:pStyle w:val="Heading3"/>
      </w:pPr>
      <w:r>
        <w:t xml:space="preserve">4.3 Data flow</w:t>
      </w:r>
    </w:p>
    <w:p>
      <w:pPr>
        <w:spacing w:after="120"/>
      </w:pPr>
      <w:r>
        <w:t xml:space="preserve">Data flows in one direction, from the source (Project Online or an Excel file) through the app and into the target Dataverse environment. The app holds the fetched data in memory for the duration of the wizard session; nothing is persisted on the server side. Closing the browser tab discards the in-memory state.</w:t>
      </w:r>
    </w:p>
    <w:p>
      <w:r>
        <w:br w:type="page"/>
      </w:r>
    </w:p>
    <w:p>
      <w:pPr>
        <w:pStyle w:val="Heading1"/>
      </w:pPr>
      <w:r>
        <w:t xml:space="preserve">5. The five wizard steps</w:t>
      </w:r>
    </w:p>
    <w:p>
      <w:pPr>
        <w:spacing w:after="120"/>
      </w:pPr>
      <w:r>
        <w:t xml:space="preserve">The user interface is organised as a strict left-to-right wizard. The five steps form a contract: each must complete before the next can start, and going back is non-destructive (mappings and selections are preserved). The only step that cannot be undone is Step 4, the actual data import.</w:t>
      </w:r>
    </w:p>
    <w:p>
      <w:pPr>
        <w:pStyle w:val="Heading3"/>
      </w:pPr>
      <w:r>
        <w:t xml:space="preserve">5.1 Step 1 — Configure &amp; Fetch</w:t>
      </w:r>
    </w:p>
    <w:p>
      <w:pPr>
        <w:spacing w:after="120"/>
      </w:pPr>
      <w:r>
        <w:t xml:space="preserve">The operator chooses the migration mode, the data source, and the target solution; the app then reads everything it needs from the source. This step also includes the optional choice of which entity categories (tasks, dependencies, assignments, resources) should be in scope for the run.</w:t>
      </w:r>
    </w:p>
    <w:p>
      <w:pPr>
        <w:pStyle w:val="Heading3"/>
      </w:pPr>
      <w:r>
        <w:t xml:space="preserve">5.2 Step 2 — Field Mapping</w:t>
      </w:r>
    </w:p>
    <w:p>
      <w:pPr>
        <w:spacing w:after="120"/>
      </w:pPr>
      <w:r>
        <w:t xml:space="preserve">Every Project Online custom field is shown in a table with an auto-detected suggestion for what kind of Dataverse column it should become. The operator can accept the suggestion, switch to an existing column in the target, change the proposed type, or skip the field entirely. The result is a mapping configuration that drives Step 3 and Step 4.</w:t>
      </w:r>
    </w:p>
    <w:p>
      <w:pPr>
        <w:pStyle w:val="Heading3"/>
      </w:pPr>
      <w:r>
        <w:t xml:space="preserve">5.3 Step 3 — Create Columns / Validate Schema</w:t>
      </w:r>
    </w:p>
    <w:p>
      <w:pPr>
        <w:spacing w:after="120"/>
      </w:pPr>
      <w:r>
        <w:t xml:space="preserve">In Full and Schema-only modes, this step creates everything the mapping requires that does not already exist in the target. In Data only mode, this step is read-only: it confirms that all required columns and option sets are present and signals any problems before the operator can proceed.</w:t>
      </w:r>
    </w:p>
    <w:p>
      <w:pPr>
        <w:pStyle w:val="Heading3"/>
      </w:pPr>
      <w:r>
        <w:t xml:space="preserve">5.4 Step 4 — Import Data</w:t>
      </w:r>
    </w:p>
    <w:p>
      <w:pPr>
        <w:spacing w:after="120"/>
      </w:pPr>
      <w:r>
        <w:t xml:space="preserve">The operator selects which projects to migrate using filters, bulk-selection controls, and per-project owner overrides. After ticking the schedule-rebuild confirmation, the import runs in batches with live progress, ETA, a stop button, and a browser-close guard. The import processes resources first (sequentially), then projects in parallel (with per-project pipelines for team members, tasks, dependencies, and assignments).</w:t>
      </w:r>
    </w:p>
    <w:p>
      <w:pPr>
        <w:pStyle w:val="Heading3"/>
      </w:pPr>
      <w:r>
        <w:t xml:space="preserve">5.5 Step 5 — Validation Report</w:t>
      </w:r>
    </w:p>
    <w:p>
      <w:pPr>
        <w:spacing w:after="120"/>
      </w:pPr>
      <w:r>
        <w:t xml:space="preserve">A summary report tells the operator what was migrated, what was not, and why. Tiles show top-line counts; tables break down per-entity totals and per-record failures. Two CSV exports — a summary export and an errors export — let the operator share the results with the customer or with the team running fixes.</w:t>
      </w:r>
    </w:p>
    <w:p>
      <w:r>
        <w:br w:type="page"/>
      </w:r>
    </w:p>
    <w:p>
      <w:pPr>
        <w:pStyle w:val="Heading1"/>
      </w:pPr>
      <w:r>
        <w:t xml:space="preserve">6. The three migration modes</w:t>
      </w:r>
    </w:p>
    <w:p>
      <w:pPr>
        <w:spacing w:after="120"/>
      </w:pPr>
      <w:r>
        <w:t xml:space="preserve">Migration mode is the single most important decision the operator makes. It changes what Step 3 does, what Step 4 expects, and which auto-detection rules apply in Step 2. The mode is chosen first, before any data is read, so that the rest of the wizard can adapt accordingly.</w:t>
      </w:r>
    </w:p>
    <w:p>
      <w:pPr>
        <w:pStyle w:val="Heading3"/>
      </w:pPr>
      <w:r>
        <w:t xml:space="preserve">6.1 Full migration mode</w:t>
      </w:r>
    </w:p>
    <w:p>
      <w:pPr>
        <w:spacing w:after="120"/>
      </w:pPr>
      <w:r>
        <w:t xml:space="preserve">Full mode is used when the target environment has no migration columns yet. The wizard reads custom field definitions from the source, generates a complete mapping, creates every required column and option set in Step 3, and then imports the data in Step 4.</w:t>
      </w:r>
    </w:p>
    <w:p>
      <w:pPr>
        <w:spacing w:after="120"/>
      </w:pPr>
      <w:r>
        <w:t xml:space="preserve">Full mode is the natural starting point for a new engagement. The risk of running Full mode against a target that already has columns is small — existing columns are detected and reused with an "already existed" status — but in practice schema work and data work are usually separated.</w:t>
      </w:r>
    </w:p>
    <w:p>
      <w:pPr>
        <w:pStyle w:val="Heading3"/>
      </w:pPr>
      <w:r>
        <w:t xml:space="preserve">6.2 Data only mode</w:t>
      </w:r>
    </w:p>
    <w:p>
      <w:pPr>
        <w:spacing w:after="120"/>
      </w:pPr>
      <w:r>
        <w:t xml:space="preserve">Data only mode is used when the target schema has already been prepared, either by an earlier Schema-only run or by a customer-provided customisation. The wizard scans the target schema during Step 1 (in parallel with reading source data), and in Step 2 every field defaults to "Use existing" with an auto-match against the existing columns. Step 3 becomes a read-only validation: it confirms that what was promised in Step 2 actually exists.</w:t>
      </w:r>
    </w:p>
    <w:p>
      <w:pPr>
        <w:spacing w:after="120"/>
      </w:pPr>
      <w:r>
        <w:t xml:space="preserve">Because Data only mode does not modify the target schema, it is the safest mode to run against production or near-production environments. It also surfaces additional information: a status indicator (green / amber / red dot) per field shows whether its values will resolve cleanly against the existing target.</w:t>
      </w:r>
    </w:p>
    <w:p>
      <w:pPr>
        <w:pStyle w:val="Heading3"/>
      </w:pPr>
      <w:r>
        <w:t xml:space="preserve">6.3 Schema only mode</w:t>
      </w:r>
    </w:p>
    <w:p>
      <w:pPr>
        <w:spacing w:after="120"/>
      </w:pPr>
      <w:r>
        <w:t xml:space="preserve">Schema only mode prepares a target environment without writing any project data. It is the typical first run on an engagement: an analyst or consultant creates the schema, hands the environment over for review or testing, and only later does a Data only run on the same environment. Schema only creates columns, global option sets, and custom lookup entities with their entries — everything the data-only path will need.</w:t>
      </w:r>
    </w:p>
    <w:p>
      <w:pPr>
        <w:spacing w:after="120"/>
      </w:pPr>
      <w:r>
        <w:t xml:space="preserve">A Schema only run is typically very fast (seconds to a few minutes) because no project records need to be written.</w:t>
      </w:r>
    </w:p>
    <w:p>
      <w:pPr>
        <w:pStyle w:val="Heading3"/>
      </w:pPr>
      <w:r>
        <w:t xml:space="preserve">6.4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Aspect</w:t>
            </w:r>
          </w:p>
        </w:tc>
        <w:tc>
          <w:tcPr>
            <w:tcW w:type="dxa" w:w="240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Full</w:t>
            </w:r>
          </w:p>
        </w:tc>
        <w:tc>
          <w:tcPr>
            <w:tcW w:type="dxa" w:w="240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Data only</w:t>
            </w:r>
          </w:p>
        </w:tc>
        <w:tc>
          <w:tcPr>
            <w:tcW w:type="dxa" w:w="236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Schema only</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Reads from source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Yes (full)</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Yes (full)</w:t>
            </w:r>
          </w:p>
        </w:tc>
        <w:tc>
          <w:tcPr>
            <w:tcW w:type="dxa" w:w="2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Schema metadata only</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Scans target schema</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No (creates new)</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Yes</w:t>
            </w:r>
          </w:p>
        </w:tc>
        <w:tc>
          <w:tcPr>
            <w:tcW w:type="dxa" w:w="2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No (creates new)</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Creates columns and option sets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Yes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No</w:t>
            </w:r>
          </w:p>
        </w:tc>
        <w:tc>
          <w:tcPr>
            <w:tcW w:type="dxa" w:w="2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Yes</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Imports project data</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Yes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Yes</w:t>
            </w:r>
          </w:p>
        </w:tc>
        <w:tc>
          <w:tcPr>
            <w:tcW w:type="dxa" w:w="2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No</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Best for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Greenfield migrations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Production data runs</w:t>
            </w:r>
          </w:p>
        </w:tc>
        <w:tc>
          <w:tcPr>
            <w:tcW w:type="dxa" w:w="2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Preparing target environments</w:t>
            </w:r>
          </w:p>
        </w:tc>
      </w:tr>
    </w:tbl>
    <w:p>
      <w:r>
        <w:br w:type="page"/>
      </w:r>
    </w:p>
    <w:p>
      <w:pPr>
        <w:pStyle w:val="Heading1"/>
      </w:pPr>
      <w:r>
        <w:t xml:space="preserve">7. The two data sources</w:t>
      </w:r>
    </w:p>
    <w:p>
      <w:pPr>
        <w:spacing w:after="120"/>
      </w:pPr>
      <w:r>
        <w:t xml:space="preserve">From Step 2 onwards, the wizard is data-source-agnostic — it operates on a uniform internal representation of projects, tasks, resources, and assignments. The data source choice in Step 1 simply selects which adapter produces that representation.</w:t>
      </w:r>
    </w:p>
    <w:p>
      <w:pPr>
        <w:pStyle w:val="Heading3"/>
      </w:pPr>
      <w:r>
        <w:t xml:space="preserve">7.1 Project Online (live)</w:t>
      </w:r>
    </w:p>
    <w:p>
      <w:pPr>
        <w:spacing w:after="120"/>
      </w:pPr>
      <w:r>
        <w:t xml:space="preserve">When the operator selects this source and provides a PWA URL, the app reads the following entities through SharePoint and Project Online APIs:</w:t>
      </w:r>
    </w:p>
    <w:p>
      <w:pPr>
        <w:pStyle w:val="ListParagraph"/>
        <w:numPr>
          <w:ilvl w:val="0"/>
          <w:numId w:val="2"/>
        </w:numPr>
        <w:spacing w:after="60"/>
      </w:pPr>
      <w:r>
        <w:t xml:space="preserve">Projects (with metadata and custom field values).</w:t>
      </w:r>
    </w:p>
    <w:p>
      <w:pPr>
        <w:pStyle w:val="ListParagraph"/>
        <w:numPr>
          <w:ilvl w:val="0"/>
          <w:numId w:val="2"/>
        </w:numPr>
        <w:spacing w:after="60"/>
      </w:pPr>
      <w:r>
        <w:t xml:space="preserve">Tasks (including parent-child hierarchy, dates, percent complete, milestones).</w:t>
      </w:r>
    </w:p>
    <w:p>
      <w:pPr>
        <w:pStyle w:val="ListParagraph"/>
        <w:numPr>
          <w:ilvl w:val="0"/>
          <w:numId w:val="2"/>
        </w:numPr>
        <w:spacing w:after="60"/>
      </w:pPr>
      <w:r>
        <w:t xml:space="preserve">Task dependencies (predecessor / successor with type FS / SS / FF / SF).</w:t>
      </w:r>
    </w:p>
    <w:p>
      <w:pPr>
        <w:pStyle w:val="ListParagraph"/>
        <w:numPr>
          <w:ilvl w:val="0"/>
          <w:numId w:val="2"/>
        </w:numPr>
        <w:spacing w:after="60"/>
      </w:pPr>
      <w:r>
        <w:t xml:space="preserve">Resources (team members on each project).</w:t>
      </w:r>
    </w:p>
    <w:p>
      <w:pPr>
        <w:pStyle w:val="ListParagraph"/>
        <w:numPr>
          <w:ilvl w:val="0"/>
          <w:numId w:val="2"/>
        </w:numPr>
        <w:spacing w:after="60"/>
      </w:pPr>
      <w:r>
        <w:t xml:space="preserve">Assignments (resource–task allocations with units).</w:t>
      </w:r>
    </w:p>
    <w:p>
      <w:pPr>
        <w:pStyle w:val="ListParagraph"/>
        <w:numPr>
          <w:ilvl w:val="0"/>
          <w:numId w:val="2"/>
        </w:numPr>
        <w:spacing w:after="60"/>
      </w:pPr>
      <w:r>
        <w:t xml:space="preserve">Project team members.</w:t>
      </w:r>
    </w:p>
    <w:p>
      <w:pPr>
        <w:pStyle w:val="ListParagraph"/>
        <w:numPr>
          <w:ilvl w:val="0"/>
          <w:numId w:val="2"/>
        </w:numPr>
        <w:spacing w:after="60"/>
      </w:pPr>
      <w:r>
        <w:t xml:space="preserve">Custom field definitions (project, task, resource).</w:t>
      </w:r>
    </w:p>
    <w:p>
      <w:pPr>
        <w:pStyle w:val="ListParagraph"/>
        <w:numPr>
          <w:ilvl w:val="0"/>
          <w:numId w:val="2"/>
        </w:numPr>
        <w:spacing w:after="60"/>
      </w:pPr>
      <w:r>
        <w:t xml:space="preserve">Lookup tables and their entries.</w:t>
      </w:r>
    </w:p>
    <w:p>
      <w:pPr>
        <w:spacing w:after="120"/>
      </w:pPr>
      <w:r>
        <w:t xml:space="preserve">Authentication is delegated to the operator's SharePoint session — there is no separate login step. The app makes no writes to the source.</w:t>
      </w:r>
    </w:p>
    <w:p>
      <w:pPr>
        <w:pStyle w:val="Heading3"/>
      </w:pPr>
      <w:r>
        <w:t xml:space="preserve">7.2 Upload File (Excel / CSV)</w:t>
      </w:r>
    </w:p>
    <w:p>
      <w:pPr>
        <w:spacing w:after="120"/>
      </w:pPr>
      <w:r>
        <w:t xml:space="preserve">When the operator selects this source, they download an Excel template generated by the app and fill it in, then upload the result. The template has a fixed sheet structure and column layout that the app validates strictly on upload — renamed sheets or columns cause the file to be rejected with a clear error.</w:t>
      </w:r>
    </w:p>
    <w:p>
      <w:pPr>
        <w:spacing w:after="120"/>
      </w:pPr>
      <w:r>
        <w:t xml:space="preserve">The Upload File path exists for three scenarios:</w:t>
      </w:r>
    </w:p>
    <w:p>
      <w:pPr>
        <w:pStyle w:val="ListParagraph"/>
        <w:numPr>
          <w:ilvl w:val="0"/>
          <w:numId w:val="2"/>
        </w:numPr>
        <w:spacing w:after="60"/>
      </w:pPr>
      <w:r>
        <w:t xml:space="preserve">The operator has no direct access to the Project Online tenant but can obtain an export.</w:t>
      </w:r>
    </w:p>
    <w:p>
      <w:pPr>
        <w:pStyle w:val="ListParagraph"/>
        <w:numPr>
          <w:ilvl w:val="0"/>
          <w:numId w:val="2"/>
        </w:numPr>
        <w:spacing w:after="60"/>
      </w:pPr>
      <w:r>
        <w:t xml:space="preserve">The customer wants to clean or restructure data before migration.</w:t>
      </w:r>
    </w:p>
    <w:p>
      <w:pPr>
        <w:pStyle w:val="ListParagraph"/>
        <w:numPr>
          <w:ilvl w:val="0"/>
          <w:numId w:val="2"/>
        </w:numPr>
        <w:spacing w:after="60"/>
      </w:pPr>
      <w:r>
        <w:t xml:space="preserve">The migration is from a non-Project-Online source (legacy planning tool, custom internal system).</w:t>
      </w:r>
    </w:p>
    <w:p>
      <w:pPr>
        <w:spacing w:after="120"/>
      </w:pPr>
      <w:r>
        <w:t xml:space="preserve">Downstream of Step 1, both sources behave identically.</w:t>
      </w:r>
    </w:p>
    <w:p>
      <w:r>
        <w:br w:type="page"/>
      </w:r>
    </w:p>
    <w:p>
      <w:pPr>
        <w:pStyle w:val="Heading1"/>
      </w:pPr>
      <w:r>
        <w:t xml:space="preserve">8. Field mapping and type detection</w:t>
      </w:r>
    </w:p>
    <w:p>
      <w:pPr>
        <w:spacing w:after="120"/>
      </w:pPr>
      <w:r>
        <w:t xml:space="preserve">Project Online custom fields do not have a single uniform mapping to Dataverse column types. Several Project Online types — Text, Number, Cost, Duration, Flag — can sensibly become more than one Dataverse type depending on the customer's intent. The app encodes a default rule for each, then exposes the choice to the operator.</w:t>
      </w:r>
    </w:p>
    <w:p>
      <w:pPr>
        <w:pStyle w:val="Heading3"/>
      </w:pPr>
      <w:r>
        <w:t xml:space="preserve">8.1 Default mapping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00"/>
        <w:gridCol w:w="2660"/>
      </w:tblGrid>
      <w:tr>
        <w:trPr>
          <w:tblHeader/>
        </w:trPr>
        <w:tc>
          <w:tcPr>
            <w:tcW w:type="dxa" w:w="150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PO type</w:t>
            </w:r>
          </w:p>
        </w:tc>
        <w:tc>
          <w:tcPr>
            <w:tcW w:type="dxa" w:w="220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Default Dataverse type</w:t>
            </w:r>
          </w:p>
        </w:tc>
        <w:tc>
          <w:tcPr>
            <w:tcW w:type="dxa" w:w="300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Why</w:t>
            </w:r>
          </w:p>
        </w:tc>
        <w:tc>
          <w:tcPr>
            <w:tcW w:type="dxa" w:w="266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Common override</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Text</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Single Line of Text</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Most direct equivalent.</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Multiple Lines of Text for free-form notes.</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Number</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Decimal Number</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Preserves precision.</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Whole Number when source values are integers.</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Cost</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Decimal Number</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Currency columns require extra setup.</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Currency for finance-tagged fields.</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Date</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Date Only</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Project Online dates are date-only in most flows.</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Duration</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Whole Number</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Stored as integer days.</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Flag</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Two Options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Yes/No semantics.</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Lookup</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Choice (OptionSet)</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Global option sets work for single-value pickers.</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Custom lookup entity for large or shared lists.</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LookupMulti</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Multi-Select Choice</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Multi-select picklist semantics.</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t>
            </w:r>
          </w:p>
        </w:tc>
      </w:tr>
    </w:tbl>
    <w:p>
      <w:pPr>
        <w:pStyle w:val="Heading3"/>
      </w:pPr>
      <w:r>
        <w:t xml:space="preserve">8.2 Overriding the default</w:t>
      </w:r>
    </w:p>
    <w:p>
      <w:pPr>
        <w:spacing w:after="120"/>
      </w:pPr>
      <w:r>
        <w:t xml:space="preserve">The operator overrides defaults for several reasons:</w:t>
      </w:r>
    </w:p>
    <w:p>
      <w:pPr>
        <w:pStyle w:val="ListParagraph"/>
        <w:numPr>
          <w:ilvl w:val="0"/>
          <w:numId w:val="2"/>
        </w:numPr>
        <w:spacing w:after="60"/>
      </w:pPr>
      <w:r>
        <w:rPr>
          <w:b/>
          <w:bCs/>
        </w:rPr>
        <w:t xml:space="preserve">Customer convention. </w:t>
      </w:r>
      <w:r>
        <w:t xml:space="preserve">Some customers prefer all numeric fields to be Whole Number even when the source declared them as Number.</w:t>
      </w:r>
    </w:p>
    <w:p>
      <w:pPr>
        <w:pStyle w:val="ListParagraph"/>
        <w:numPr>
          <w:ilvl w:val="0"/>
          <w:numId w:val="2"/>
        </w:numPr>
        <w:spacing w:after="60"/>
      </w:pPr>
      <w:r>
        <w:rPr>
          <w:b/>
          <w:bCs/>
        </w:rPr>
        <w:t xml:space="preserve">Existing target columns. </w:t>
      </w:r>
      <w:r>
        <w:t xml:space="preserve">When a column already exists in the target with a specific type, the operator chooses Use existing and that type is used regardless of the suggestion.</w:t>
      </w:r>
    </w:p>
    <w:p>
      <w:pPr>
        <w:pStyle w:val="ListParagraph"/>
        <w:numPr>
          <w:ilvl w:val="0"/>
          <w:numId w:val="2"/>
        </w:numPr>
        <w:spacing w:after="60"/>
      </w:pPr>
      <w:r>
        <w:rPr>
          <w:b/>
          <w:bCs/>
        </w:rPr>
        <w:t xml:space="preserve">Lookup vs Choice. </w:t>
      </w:r>
      <w:r>
        <w:t xml:space="preserve">When a Project Online lookup table is large, shared across multiple fields, or expected to grow, the operator may choose to model it as a custom lookup entity instead of an option set. (Custom lookup entity support is currently produced by Schema-only mode.)</w:t>
      </w:r>
    </w:p>
    <w:p>
      <w:pPr>
        <w:pStyle w:val="Heading3"/>
      </w:pPr>
      <w:r>
        <w:t xml:space="preserve">8.3 Skipping fields</w:t>
      </w:r>
    </w:p>
    <w:p>
      <w:pPr>
        <w:spacing w:after="120"/>
      </w:pPr>
      <w:r>
        <w:t xml:space="preserve">Operators routinely skip a fraction of source custom fields. The Skip checkbox on each row marks the field as excluded; in Step 3 no column is created for it, and in Step 4 the field's values are not written. Skipping is the right action for legacy fields with no business meaning, for fields whose data is too messy to migrate, or for fields the customer has explicitly decided not to carry over.</w:t>
      </w:r>
    </w:p>
    <w:p>
      <w:r>
        <w:br w:type="page"/>
      </w:r>
    </w:p>
    <w:p>
      <w:pPr>
        <w:pStyle w:val="Heading1"/>
      </w:pPr>
      <w:r>
        <w:t xml:space="preserve">9. Custom fields, choice sets, and lookup tables</w:t>
      </w:r>
    </w:p>
    <w:p>
      <w:pPr>
        <w:spacing w:after="120"/>
      </w:pPr>
      <w:r>
        <w:t xml:space="preserve">Project Online custom fields and lookup tables are the most subtle part of any migration. The app handles them with the following conventions.</w:t>
      </w:r>
    </w:p>
    <w:p>
      <w:pPr>
        <w:pStyle w:val="Heading3"/>
      </w:pPr>
      <w:r>
        <w:t xml:space="preserve">9.1 Custom field naming</w:t>
      </w:r>
    </w:p>
    <w:p>
      <w:pPr>
        <w:spacing w:after="120"/>
      </w:pPr>
      <w:r>
        <w:t xml:space="preserve">When the app creates a new column, the logical name is constructed from the solution publisher prefix (e.g. exp_) and a slugified version of the field display name (e.g. "Budget Status" becomes exp_budget_status). The display name is preserved exactly. This convention means logical names are predictable and human-readable, which makes troubleshooting and post-migration customisation easier.</w:t>
      </w:r>
    </w:p>
    <w:p>
      <w:pPr>
        <w:pStyle w:val="Heading3"/>
      </w:pPr>
      <w:r>
        <w:t xml:space="preserve">9.2 Global option sets</w:t>
      </w:r>
    </w:p>
    <w:p>
      <w:pPr>
        <w:spacing w:after="120"/>
      </w:pPr>
      <w:r>
        <w:t xml:space="preserve">Project Online lookup tables are by default mapped to global option sets in Dataverse. Global, rather than local, because lookup tables are usually shared across multiple custom fields, and global option sets let Dataverse columns share the same value list without duplication. The option set logical name follows the same prefix-and-slug pattern as columns.</w:t>
      </w:r>
    </w:p>
    <w:p>
      <w:pPr>
        <w:spacing w:after="120"/>
      </w:pPr>
      <w:r>
        <w:t xml:space="preserve">Each lookup table entry becomes an option in the set; the integer value is assigned automatically by Dataverse. The display label is the entry's text. In Data only mode, the app resolves Project Online values against existing option set labels (case-insensitive); unresolved values are reported in the Skipped Fields panel in Step 5.</w:t>
      </w:r>
    </w:p>
    <w:p>
      <w:pPr>
        <w:pStyle w:val="Heading3"/>
      </w:pPr>
      <w:r>
        <w:t xml:space="preserve">9.3 Custom lookup entities</w:t>
      </w:r>
    </w:p>
    <w:p>
      <w:pPr>
        <w:spacing w:after="120"/>
      </w:pPr>
      <w:r>
        <w:t xml:space="preserve">When Schema-only mode runs (or in Full mode for lookup tables flagged for entity treatment), the app creates a custom Dataverse entity per lookup table with a Name column and inserts an entry per lookup value. The custom field on msdyn_project then becomes a Lookup column targeting this entity rather than a Choice column.</w:t>
      </w:r>
    </w:p>
    <w:p>
      <w:pPr>
        <w:spacing w:after="120"/>
      </w:pPr>
      <w:r>
        <w:t xml:space="preserve">Lookup-entity-modelled tables are typical for large or evolving value lists, where the customer wants to add or rename entries without touching column metadata.</w:t>
      </w:r>
    </w:p>
    <w:p>
      <w:pPr>
        <w:pStyle w:val="Heading3"/>
      </w:pPr>
      <w:r>
        <w:t xml:space="preserve">9.4 Project owners</w:t>
      </w:r>
    </w:p>
    <w:p>
      <w:pPr>
        <w:spacing w:after="120"/>
      </w:pPr>
      <w:r>
        <w:t xml:space="preserve">Project ownership is migrated with two layers of resolution. First, the app attempts to match the Project Online project owner email to a Dataverse system user. If a match is found, the migrated project's Project Manager is set accordingly. If no match is found, the project is imported without a manager assignment, and the operator can later override the manager from Step 4's per-project Owner dropdown before starting the import.</w:t>
      </w:r>
    </w:p>
    <w:p>
      <w:r>
        <w:br w:type="page"/>
      </w:r>
    </w:p>
    <w:p>
      <w:pPr>
        <w:pStyle w:val="Heading1"/>
      </w:pPr>
      <w:r>
        <w:t xml:space="preserve">10. The import process</w:t>
      </w:r>
    </w:p>
    <w:p>
      <w:pPr>
        <w:spacing w:after="120"/>
      </w:pPr>
      <w:r>
        <w:t xml:space="preserve">Step 4 — the data import — is the longest-running and most observable part of the application. Understanding what happens during this step is essential for setting customer expectations and for diagnosing problems.</w:t>
      </w:r>
    </w:p>
    <w:p>
      <w:pPr>
        <w:pStyle w:val="Heading3"/>
      </w:pPr>
      <w:r>
        <w:t xml:space="preserve">10.1 Order of operations</w:t>
      </w:r>
    </w:p>
    <w:p>
      <w:pPr>
        <w:spacing w:after="120"/>
      </w:pPr>
      <w:r>
        <w:t xml:space="preserve">The import always proceeds in a fixed order:</w:t>
      </w:r>
    </w:p>
    <w:p>
      <w:pPr>
        <w:pStyle w:val="ListParagraph"/>
        <w:numPr>
          <w:ilvl w:val="0"/>
          <w:numId w:val="3"/>
        </w:numPr>
        <w:spacing w:after="80"/>
      </w:pPr>
      <w:r>
        <w:rPr>
          <w:b/>
          <w:bCs/>
        </w:rPr>
        <w:t xml:space="preserve">Resources (Phase 1, sequential). </w:t>
      </w:r>
      <w:r>
        <w:t xml:space="preserve">For every Project Online resource referenced by the selected projects, the app attempts to find or create a corresponding Dataverse user or bookable resource. Resources that cannot be matched are recorded as failures.</w:t>
      </w:r>
    </w:p>
    <w:p>
      <w:pPr>
        <w:pStyle w:val="ListParagraph"/>
        <w:numPr>
          <w:ilvl w:val="0"/>
          <w:numId w:val="3"/>
        </w:numPr>
        <w:spacing w:after="80"/>
      </w:pPr>
      <w:r>
        <w:rPr>
          <w:b/>
          <w:bCs/>
        </w:rPr>
        <w:t xml:space="preserve">Projects (Phase 2, parallel). </w:t>
      </w:r>
      <w:r>
        <w:t xml:space="preserve">The app processes multiple projects in parallel, up to a configured concurrency limit. For each project, the following sub-phases run in order:</w:t>
      </w:r>
    </w:p>
    <w:p>
      <w:pPr>
        <w:pStyle w:val="ListParagraph"/>
        <w:numPr>
          <w:ilvl w:val="0"/>
          <w:numId w:val="3"/>
        </w:numPr>
        <w:spacing w:after="80"/>
      </w:pPr>
      <w:r>
        <w:t xml:space="preserve">Project record creation (or reuse if the project was migrated before).</w:t>
      </w:r>
      <w:r>
        <w:t xml:space="preserve">Project team members — links between the project and the resolved Dataverse users.</w:t>
      </w:r>
      <w:r>
        <w:t xml:space="preserve">Tasks — the project schedule is cleared if it existed, then rebuilt from the source.</w:t>
      </w:r>
      <w:r>
        <w:t xml:space="preserve">Dependencies — predecessor/successor links between tasks within the same project.</w:t>
      </w:r>
      <w:r>
        <w:t xml:space="preserve">Assignments — resource–task allocations.</w:t>
      </w:r>
    </w:p>
    <w:p>
      <w:pPr>
        <w:pStyle w:val="ListParagraph"/>
        <w:numPr>
          <w:ilvl w:val="0"/>
          <w:numId w:val="3"/>
        </w:numPr>
        <w:spacing w:after="80"/>
      </w:pPr>
      <w:r>
        <w:rPr>
          <w:b/>
          <w:bCs/>
        </w:rPr>
        <w:t xml:space="preserve">Wrap-up. </w:t>
      </w:r>
      <w:r>
        <w:t xml:space="preserve">The app aggregates results per entity and prepares the validation report for Step 5.</w:t>
      </w:r>
    </w:p>
    <w:p>
      <w:pPr>
        <w:pStyle w:val="Heading3"/>
      </w:pPr>
      <w:r>
        <w:t xml:space="preserve">10.2 Batching and rate limits</w:t>
      </w:r>
    </w:p>
    <w:p>
      <w:pPr>
        <w:spacing w:after="120"/>
      </w:pPr>
      <w:r>
        <w:t xml:space="preserve">Tasks, dependencies, and assignments go through the Project schedule API, which works in batches of operations. The app calls msdyn_CreateOperationSetV1, then msdyn_PssCreateV1 for each operation (up to roughly 180 per batch), then msdyn_ExecuteOperationSetV1 to commit the batch. Smart inter-batch delays smooth out rate limiting; the ETA shown to the user accounts for this.</w:t>
      </w:r>
    </w:p>
    <w:p>
      <w:pPr>
        <w:pStyle w:val="Heading3"/>
      </w:pPr>
      <w:r>
        <w:t xml:space="preserve">10.3 Idempotency</w:t>
      </w:r>
    </w:p>
    <w:p>
      <w:pPr>
        <w:spacing w:after="120"/>
      </w:pPr>
      <w:r>
        <w:t xml:space="preserve">Re-running an import for the same set of projects is safe in terms of duplication: the app uses a tracking ID column on msdyn_project to detect projects that have already been migrated and reuses their records rather than duplicating. However, re-importing a project rebuilds its schedule: existing tasks, dependencies, and assignments on that project are cleared before the new ones are written. This is the behavior the schedule-rebuild confirmation checkbox in Step 4 covers.</w:t>
      </w:r>
    </w:p>
    <w:p>
      <w:pPr>
        <w:pStyle w:val="Heading3"/>
      </w:pPr>
      <w:r>
        <w:t xml:space="preserve">10.4 Stop, resume, and partial completion</w:t>
      </w:r>
    </w:p>
    <w:p>
      <w:pPr>
        <w:spacing w:after="120"/>
      </w:pPr>
      <w:r>
        <w:t xml:space="preserve">When the operator clicks Stop Migration, the app finishes any in-flight per-project pipelines and then halts. Projects that had not yet started are skipped. The report in Step 5 distinguishes between successfully migrated projects, projects skipped because of stop, and projects that failed mid-pipeline. There is no resume mechanism — restarting the import re-processes the remaining projects from scratch (and rebuilds the schedules of any already-migrated projects in the selection, hence the safety prompts).</w:t>
      </w:r>
    </w:p>
    <w:p>
      <w:r>
        <w:br w:type="page"/>
      </w:r>
    </w:p>
    <w:p>
      <w:pPr>
        <w:pStyle w:val="Heading1"/>
      </w:pPr>
      <w:r>
        <w:t xml:space="preserve">11. Reporting and observability</w:t>
      </w:r>
    </w:p>
    <w:p>
      <w:pPr>
        <w:spacing w:after="120"/>
      </w:pPr>
      <w:r>
        <w:t xml:space="preserve">Two layers of observability accompany the migration: the live log streamed during Step 3 and Step 4, and the validation report produced in Step 5.</w:t>
      </w:r>
    </w:p>
    <w:p>
      <w:pPr>
        <w:pStyle w:val="Heading3"/>
      </w:pPr>
      <w:r>
        <w:t xml:space="preserve">11.1 Live log</w:t>
      </w:r>
    </w:p>
    <w:p>
      <w:pPr>
        <w:spacing w:after="120"/>
      </w:pPr>
      <w:r>
        <w:t xml:space="preserve">During Step 3 and Step 4, a streaming log shows every operation as it happens, with a timestamp, a status icon, and a human-readable message. The log is for in-flight diagnosis: the operator can see if a particular project, task, or column is causing trouble and intervene (typically by clicking Stop Migration) before the run gets too far.</w:t>
      </w:r>
    </w:p>
    <w:p>
      <w:pPr>
        <w:pStyle w:val="Heading3"/>
      </w:pPr>
      <w:r>
        <w:t xml:space="preserve">11.2 Validation report</w:t>
      </w:r>
    </w:p>
    <w:p>
      <w:pPr>
        <w:spacing w:after="120"/>
      </w:pPr>
      <w:r>
        <w:t xml:space="preserve">Step 5 aggregates the run into a structured report. The report has three layers:</w:t>
      </w:r>
    </w:p>
    <w:p>
      <w:pPr>
        <w:pStyle w:val="ListParagraph"/>
        <w:numPr>
          <w:ilvl w:val="0"/>
          <w:numId w:val="2"/>
        </w:numPr>
        <w:spacing w:after="60"/>
      </w:pPr>
      <w:r>
        <w:rPr>
          <w:b/>
          <w:bCs/>
        </w:rPr>
        <w:t xml:space="preserve">Headline tiles </w:t>
      </w:r>
      <w:r>
        <w:t xml:space="preserve">— Projects migrated, Records processed, Succeeded, Failed/skipped, Success rate.</w:t>
      </w:r>
    </w:p>
    <w:p>
      <w:pPr>
        <w:pStyle w:val="ListParagraph"/>
        <w:numPr>
          <w:ilvl w:val="0"/>
          <w:numId w:val="2"/>
        </w:numPr>
        <w:spacing w:after="60"/>
      </w:pPr>
      <w:r>
        <w:rPr>
          <w:b/>
          <w:bCs/>
        </w:rPr>
        <w:t xml:space="preserve">Entity Results table </w:t>
      </w:r>
      <w:r>
        <w:t xml:space="preserve">— for every entity (Resources, Projects, Team members, Tasks, Dependencies, Assignments) the total, succeeded, failed/skipped, and rate.</w:t>
      </w:r>
    </w:p>
    <w:p>
      <w:pPr>
        <w:pStyle w:val="ListParagraph"/>
        <w:numPr>
          <w:ilvl w:val="0"/>
          <w:numId w:val="2"/>
        </w:numPr>
        <w:spacing w:after="60"/>
      </w:pPr>
      <w:r>
        <w:rPr>
          <w:b/>
          <w:bCs/>
        </w:rPr>
        <w:t xml:space="preserve">Failures And Skips table </w:t>
      </w:r>
      <w:r>
        <w:t xml:space="preserve">— one row per failed or skipped record, with entity, source identifier, message, and timestamp.</w:t>
      </w:r>
    </w:p>
    <w:p>
      <w:pPr>
        <w:spacing w:after="120"/>
      </w:pPr>
      <w:r>
        <w:t xml:space="preserve">Both the summary table and the failures table are exportable as CSV. In Data only mode, a fourth panel — Skipped Fields — additionally lists individual choice or lookup values that could not be resolved against the existing target schema. This is the primary deliverable for handoff to whoever maintains the target environment's option sets.</w:t>
      </w:r>
    </w:p>
    <w:p>
      <w:r>
        <w:br w:type="page"/>
      </w:r>
    </w:p>
    <w:p>
      <w:pPr>
        <w:pStyle w:val="Heading1"/>
      </w:pPr>
      <w:r>
        <w:t xml:space="preserve">12. Constraints and known limitations</w:t>
      </w:r>
    </w:p>
    <w:p>
      <w:pPr>
        <w:spacing w:after="120"/>
      </w:pPr>
      <w:r>
        <w:t xml:space="preserve">These constraints are intentional design decisions or platform limitations the tool has been designed around. They are not bugs.</w:t>
      </w:r>
    </w:p>
    <w:p>
      <w:pPr>
        <w:pStyle w:val="Heading3"/>
      </w:pPr>
      <w:r>
        <w:t xml:space="preserve">12.1 Task custom fields are not migrated</w:t>
      </w:r>
    </w:p>
    <w:p>
      <w:pPr>
        <w:spacing w:after="120"/>
      </w:pPr>
      <w:r>
        <w:t xml:space="preserve">The Project schedule OperationSet API used to create tasks does not support setting custom field values on tasks in the same operation. The tool reads task custom field columns from the source for completeness but does not write the values. A note in Step 5 and in the documentation calls this out explicitly. Project custom fields, by contrast, are migrated in full.</w:t>
      </w:r>
    </w:p>
    <w:p>
      <w:pPr>
        <w:pStyle w:val="Heading3"/>
      </w:pPr>
      <w:r>
        <w:t xml:space="preserve">12.2 Schedule rebuild on re-import</w:t>
      </w:r>
    </w:p>
    <w:p>
      <w:pPr>
        <w:spacing w:after="120"/>
      </w:pPr>
      <w:r>
        <w:t xml:space="preserve">Project for the Web does not support partial schedule updates through the public APIs. When a project is re-imported, its entire schedule is cleared and rebuilt. This is the deliberate behavior the schedule-rebuild confirmation checkbox protects.</w:t>
      </w:r>
    </w:p>
    <w:p>
      <w:pPr>
        <w:pStyle w:val="Heading3"/>
      </w:pPr>
      <w:r>
        <w:t xml:space="preserve">12.3 Resources must already exist in the target</w:t>
      </w:r>
    </w:p>
    <w:p>
      <w:pPr>
        <w:spacing w:after="120"/>
      </w:pPr>
      <w:r>
        <w:t xml:space="preserve">The tool does not create Dataverse users or bookable resources. A Project Online resource is migrated as an assignment target only if a matching user or bookable resource already exists in the target environment. Where the match fails, the resource and any assignments referencing it are skipped; the failures are reported individually in Step 5.</w:t>
      </w:r>
    </w:p>
    <w:p>
      <w:pPr>
        <w:pStyle w:val="Heading3"/>
      </w:pPr>
      <w:r>
        <w:t xml:space="preserve">12.4 No background processing</w:t>
      </w:r>
    </w:p>
    <w:p>
      <w:pPr>
        <w:spacing w:after="120"/>
      </w:pPr>
      <w:r>
        <w:t xml:space="preserve">The wizard runs entirely in the browser. Closing the tab during an import will trigger the browser's "Leave site?" confirmation and, if accepted, abort the import. There is no server-side queue. Operators should plan migration windows that fit within an attended browser session.</w:t>
      </w:r>
    </w:p>
    <w:p>
      <w:pPr>
        <w:pStyle w:val="Heading3"/>
      </w:pPr>
      <w:r>
        <w:t xml:space="preserve">12.5 Single environment per installation</w:t>
      </w:r>
    </w:p>
    <w:p>
      <w:pPr>
        <w:spacing w:after="120"/>
      </w:pPr>
      <w:r>
        <w:t xml:space="preserve">The managed solution's environment variable points the app at one Dataverse organization URL. Migrating into two different target environments requires either installing the solution into each environment separately or running the app multiple times with the Reset Dataverse URL action between runs.</w:t>
      </w:r>
    </w:p>
    <w:p>
      <w:pPr>
        <w:pStyle w:val="Heading3"/>
      </w:pPr>
      <w:r>
        <w:t xml:space="preserve">12.6 SharePoint summary task is excluded</w:t>
      </w:r>
    </w:p>
    <w:p>
      <w:pPr>
        <w:spacing w:after="120"/>
      </w:pPr>
      <w:r>
        <w:t xml:space="preserve">Every Project Online project has an implicit root / summary task that represents the project itself. The tool excludes this from the migration; tasks in the target start at the level of real, user-created tasks.</w:t>
      </w:r>
    </w:p>
    <w:p>
      <w:r>
        <w:br w:type="page"/>
      </w:r>
    </w:p>
    <w:p>
      <w:pPr>
        <w:pStyle w:val="Heading1"/>
      </w:pPr>
      <w:r>
        <w:t xml:space="preserve">13. Security and access</w:t>
      </w:r>
    </w:p>
    <w:p>
      <w:pPr>
        <w:spacing w:after="120"/>
      </w:pPr>
      <w:r>
        <w:t xml:space="preserve">The application acts on behalf of the signed-in operator. It does not store credentials, does not impersonate users, and does not require service principals.</w:t>
      </w:r>
    </w:p>
    <w:p>
      <w:pPr>
        <w:pStyle w:val="Heading3"/>
      </w:pPr>
      <w:r>
        <w:t xml:space="preserve">13.1 Source side (Project Online / SharePoint)</w:t>
      </w:r>
    </w:p>
    <w:p>
      <w:pPr>
        <w:spacing w:after="120"/>
      </w:pPr>
      <w:r>
        <w:t xml:space="preserve">Reads use the operator's existing SharePoint session. The operator must be signed in to Microsoft 365 in the same browser. The minimum required permissions on the PWA are Read Projects, Read Project Custom Fields, and Read Lookup Tables — typically granted via a built-in Reader role.</w:t>
      </w:r>
    </w:p>
    <w:p>
      <w:pPr>
        <w:pStyle w:val="Heading3"/>
      </w:pPr>
      <w:r>
        <w:t xml:space="preserve">13.2 Target side (Dataverse)</w:t>
      </w:r>
    </w:p>
    <w:p>
      <w:pPr>
        <w:spacing w:after="120"/>
      </w:pPr>
      <w:r>
        <w:t xml:space="preserve">Writes use the operator's Dataverse session. The required privileges:</w:t>
      </w:r>
    </w:p>
    <w:p>
      <w:pPr>
        <w:pStyle w:val="ListParagraph"/>
        <w:numPr>
          <w:ilvl w:val="0"/>
          <w:numId w:val="2"/>
        </w:numPr>
        <w:spacing w:after="60"/>
      </w:pPr>
      <w:r>
        <w:t xml:space="preserve">Read access to solutions (to list solutions in Step 1).</w:t>
      </w:r>
    </w:p>
    <w:p>
      <w:pPr>
        <w:pStyle w:val="ListParagraph"/>
        <w:numPr>
          <w:ilvl w:val="0"/>
          <w:numId w:val="2"/>
        </w:numPr>
        <w:spacing w:after="60"/>
      </w:pPr>
      <w:r>
        <w:t xml:space="preserve">Read access to entity metadata (to inspect existing columns in Step 2 / Step 3).</w:t>
      </w:r>
    </w:p>
    <w:p>
      <w:pPr>
        <w:pStyle w:val="ListParagraph"/>
        <w:numPr>
          <w:ilvl w:val="0"/>
          <w:numId w:val="2"/>
        </w:numPr>
        <w:spacing w:after="60"/>
      </w:pPr>
      <w:r>
        <w:t xml:space="preserve">Create access to attribute metadata and global option set metadata (in Full and Schema-only modes).</w:t>
      </w:r>
    </w:p>
    <w:p>
      <w:pPr>
        <w:pStyle w:val="ListParagraph"/>
        <w:numPr>
          <w:ilvl w:val="0"/>
          <w:numId w:val="2"/>
        </w:numPr>
        <w:spacing w:after="60"/>
      </w:pPr>
      <w:r>
        <w:t xml:space="preserve">Create and Write access to msdyn_project, msdyn_projecttask, msdyn_projectteam, and related tables (in Full and Data only modes).</w:t>
      </w:r>
    </w:p>
    <w:p>
      <w:pPr>
        <w:pStyle w:val="ListParagraph"/>
        <w:numPr>
          <w:ilvl w:val="0"/>
          <w:numId w:val="2"/>
        </w:numPr>
        <w:spacing w:after="60"/>
      </w:pPr>
      <w:r>
        <w:t xml:space="preserve">Read access to systemuser records (to populate the owner override dropdown in Step 4).</w:t>
      </w:r>
    </w:p>
    <w:p>
      <w:pPr>
        <w:spacing w:after="120"/>
      </w:pPr>
      <w:r>
        <w:t xml:space="preserve">A combination of System Customizer + a Project for the Web user role is sufficient on most environments. System Administrator works but is generally over-privileged for routine migration work.</w:t>
      </w:r>
    </w:p>
    <w:p>
      <w:pPr>
        <w:pStyle w:val="Heading3"/>
      </w:pPr>
      <w:r>
        <w:t xml:space="preserve">13.3 Data residency</w:t>
      </w:r>
    </w:p>
    <w:p>
      <w:pPr>
        <w:spacing w:after="120"/>
      </w:pPr>
      <w:r>
        <w:t xml:space="preserve">Data fetched from Project Online is held in the operator's browser memory only. Nothing is sent to third-party services or to Anthropic. The Excel template, if used, is opened and parsed entirely in the browser. All writes go directly from the browser to the target Dataverse environment using standard authenticated API calls.</w:t>
      </w:r>
    </w:p>
    <w:p>
      <w:r>
        <w:br w:type="page"/>
      </w:r>
    </w:p>
    <w:p>
      <w:pPr>
        <w:pStyle w:val="Heading1"/>
      </w:pPr>
      <w:r>
        <w:t xml:space="preserve">14. Out-of-scope and future enhancements</w:t>
      </w:r>
    </w:p>
    <w:p>
      <w:pPr>
        <w:spacing w:after="120"/>
      </w:pPr>
      <w:r>
        <w:t xml:space="preserve">The current release deliberately omits several capabilities that were considered. They are documented here so that future enhancement requests can be triaged against a known baseline.</w:t>
      </w:r>
    </w:p>
    <w:p>
      <w:pPr>
        <w:pStyle w:val="Heading3"/>
      </w:pPr>
      <w:r>
        <w:t xml:space="preserve">14.1 Not in this release</w:t>
      </w:r>
    </w:p>
    <w:p>
      <w:pPr>
        <w:pStyle w:val="ListParagraph"/>
        <w:numPr>
          <w:ilvl w:val="0"/>
          <w:numId w:val="2"/>
        </w:numPr>
        <w:spacing w:after="60"/>
      </w:pPr>
      <w:r>
        <w:rPr>
          <w:b/>
          <w:bCs/>
        </w:rPr>
        <w:t xml:space="preserve">Two-way synchronisation. </w:t>
      </w:r>
      <w:r>
        <w:t xml:space="preserve">The tool is a one-shot migrator, not a replication engine.</w:t>
      </w:r>
    </w:p>
    <w:p>
      <w:pPr>
        <w:pStyle w:val="ListParagraph"/>
        <w:numPr>
          <w:ilvl w:val="0"/>
          <w:numId w:val="2"/>
        </w:numPr>
        <w:spacing w:after="60"/>
      </w:pPr>
      <w:r>
        <w:rPr>
          <w:b/>
          <w:bCs/>
        </w:rPr>
        <w:t xml:space="preserve">Task custom field migration. </w:t>
      </w:r>
      <w:r>
        <w:t xml:space="preserve">Blocked by the Project schedule API; would require Microsoft platform changes.</w:t>
      </w:r>
    </w:p>
    <w:p>
      <w:pPr>
        <w:pStyle w:val="ListParagraph"/>
        <w:numPr>
          <w:ilvl w:val="0"/>
          <w:numId w:val="2"/>
        </w:numPr>
        <w:spacing w:after="60"/>
      </w:pPr>
      <w:r>
        <w:rPr>
          <w:b/>
          <w:bCs/>
        </w:rPr>
        <w:t xml:space="preserve">Calendar and working time migration. </w:t>
      </w:r>
      <w:r>
        <w:t xml:space="preserve">Project Online calendars do not have a one-to-one mapping in Project for the Web.</w:t>
      </w:r>
    </w:p>
    <w:p>
      <w:pPr>
        <w:pStyle w:val="ListParagraph"/>
        <w:numPr>
          <w:ilvl w:val="0"/>
          <w:numId w:val="2"/>
        </w:numPr>
        <w:spacing w:after="60"/>
      </w:pPr>
      <w:r>
        <w:rPr>
          <w:b/>
          <w:bCs/>
        </w:rPr>
        <w:t xml:space="preserve">Baseline migration. </w:t>
      </w:r>
      <w:r>
        <w:t xml:space="preserve">Baselines are out of scope; the target should be seeded with current schedule data only.</w:t>
      </w:r>
    </w:p>
    <w:p>
      <w:pPr>
        <w:pStyle w:val="ListParagraph"/>
        <w:numPr>
          <w:ilvl w:val="0"/>
          <w:numId w:val="2"/>
        </w:numPr>
        <w:spacing w:after="60"/>
      </w:pPr>
      <w:r>
        <w:rPr>
          <w:b/>
          <w:bCs/>
        </w:rPr>
        <w:t xml:space="preserve">Saved upload history. </w:t>
      </w:r>
      <w:r>
        <w:t xml:space="preserve">Re-uploading a file requires re-selecting it; previous uploads are not stored.</w:t>
      </w:r>
    </w:p>
    <w:p>
      <w:pPr>
        <w:pStyle w:val="ListParagraph"/>
        <w:numPr>
          <w:ilvl w:val="0"/>
          <w:numId w:val="2"/>
        </w:numPr>
        <w:spacing w:after="60"/>
      </w:pPr>
      <w:r>
        <w:rPr>
          <w:b/>
          <w:bCs/>
        </w:rPr>
        <w:t xml:space="preserve">Multi-tenant operation. </w:t>
      </w:r>
      <w:r>
        <w:t xml:space="preserve">One installation = one target environment.</w:t>
      </w:r>
    </w:p>
    <w:p>
      <w:pPr>
        <w:pStyle w:val="ListParagraph"/>
        <w:numPr>
          <w:ilvl w:val="0"/>
          <w:numId w:val="2"/>
        </w:numPr>
        <w:spacing w:after="60"/>
      </w:pPr>
      <w:r>
        <w:rPr>
          <w:b/>
          <w:bCs/>
        </w:rPr>
        <w:t xml:space="preserve">Server-side / unattended runs. </w:t>
      </w:r>
      <w:r>
        <w:t xml:space="preserve">The tool requires an active browser session.</w:t>
      </w:r>
    </w:p>
    <w:p>
      <w:pPr>
        <w:pStyle w:val="Heading3"/>
      </w:pPr>
      <w:r>
        <w:t xml:space="preserve">14.2 Candidate enhancements</w:t>
      </w:r>
    </w:p>
    <w:p>
      <w:pPr>
        <w:pStyle w:val="ListParagraph"/>
        <w:numPr>
          <w:ilvl w:val="0"/>
          <w:numId w:val="2"/>
        </w:numPr>
        <w:spacing w:after="60"/>
      </w:pPr>
      <w:r>
        <w:t xml:space="preserve">Saved mapping profiles per customer or environment, persisted server-side.</w:t>
      </w:r>
    </w:p>
    <w:p>
      <w:pPr>
        <w:pStyle w:val="ListParagraph"/>
        <w:numPr>
          <w:ilvl w:val="0"/>
          <w:numId w:val="2"/>
        </w:numPr>
        <w:spacing w:after="60"/>
      </w:pPr>
      <w:r>
        <w:t xml:space="preserve">A "Choice values" sheet in the Excel template so operators can pre-declare picklist values without going through Step 2.</w:t>
      </w:r>
    </w:p>
    <w:p>
      <w:pPr>
        <w:pStyle w:val="ListParagraph"/>
        <w:numPr>
          <w:ilvl w:val="0"/>
          <w:numId w:val="2"/>
        </w:numPr>
        <w:spacing w:after="60"/>
      </w:pPr>
      <w:r>
        <w:t xml:space="preserve">Configurable concurrency and inter-batch delay surfaced in the UI for tuning against busy targets.</w:t>
      </w:r>
    </w:p>
    <w:p>
      <w:pPr>
        <w:pStyle w:val="ListParagraph"/>
        <w:numPr>
          <w:ilvl w:val="0"/>
          <w:numId w:val="2"/>
        </w:numPr>
        <w:spacing w:after="60"/>
      </w:pPr>
      <w:r>
        <w:t xml:space="preserve">Soft-link of summary tasks: instead of excluding the Project Online root task, model it as a target project property.</w:t>
      </w:r>
    </w:p>
    <w:p>
      <w:pPr>
        <w:spacing w:after="120"/>
      </w:pPr>
      <w:r>
        <w:t xml:space="preserve">None of these are committed for a specific release; they are listed only to indicate the kind of work that could extend the tool without changing its core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16161"/>
        <w:sz w:val="18"/>
        <w:szCs w:val="18"/>
      </w:rPr>
      <w:t xml:space="preserve">Functional Description</w:t>
    </w:r>
    <w:r>
      <w:rPr>
        <w:color w:val="616161"/>
        <w:sz w:val="18"/>
        <w:szCs w:val="18"/>
      </w:rPr>
      <w:t xml:space="preserve">    ·    Page </w:t>
    </w:r>
    <w:r>
      <w:rPr>
        <w:color w:val="616161"/>
        <w:sz w:val="18"/>
        <w:szCs w:val="18"/>
      </w:rPr>
      <w:fldChar w:fldCharType="begin"/>
      <w:instrText xml:space="preserve">PAGE</w:instrText>
      <w:fldChar w:fldCharType="separate"/>
      <w:fldChar w:fldCharType="end"/>
    </w:r>
    <w:r>
      <w:rPr>
        <w:color w:val="616161"/>
        <w:sz w:val="18"/>
        <w:szCs w:val="18"/>
      </w:rPr>
      <w:t xml:space="preserve"> / </w:t>
    </w:r>
    <w:r>
      <w:rPr>
        <w:color w:val="6161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16161"/>
        <w:sz w:val="18"/>
        <w:szCs w:val="18"/>
      </w:rPr>
      <w:t xml:space="preserve">Project Online → Planner Premium · Functional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4E8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78D4"/>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42424"/>
      <w:sz w:val="24"/>
      <w:szCs w:val="24"/>
    </w:rPr>
  </w:style>
  <w:style w:type="paragraph" w:styleId="Heading4">
    <w:name w:val="Heading 4"/>
    <w:basedOn w:val="Normal"/>
    <w:next w:val="Normal"/>
    <w:qFormat/>
    <w:pPr>
      <w:spacing w:after="80" w:before="180"/>
      <w:outlineLvl w:val="3"/>
    </w:pPr>
    <w:rPr>
      <w:rFonts w:ascii="Arial" w:cs="Arial" w:eastAsia="Arial" w:hAnsi="Arial"/>
      <w:b/>
      <w:bCs/>
      <w:color w:val="242424"/>
      <w:sz w:val="22"/>
      <w:szCs w:val="22"/>
    </w:rPr>
  </w:style>
  <w:style w:type="paragraph" w:styleId="Caption">
    <w:name w:val="Caption"/>
    <w:basedOn w:val="Normal"/>
    <w:next w:val="Normal"/>
    <w:pPr>
      <w:spacing w:after="200" w:before="40"/>
      <w:jc w:val="center"/>
    </w:pPr>
    <w:rPr>
      <w:rFonts w:ascii="Arial" w:cs="Arial" w:eastAsia="Arial" w:hAnsi="Arial"/>
      <w:i/>
      <w:iCs/>
      <w:color w:val="616161"/>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2026-05-11T18:28:03.625Z</dcterms:created>
  <dcterms:modified xsi:type="dcterms:W3CDTF">2026-05-11T18:28:03.626Z</dcterms:modified>
</cp:coreProperties>
</file>

<file path=docProps/custom.xml><?xml version="1.0" encoding="utf-8"?>
<Properties xmlns="http://schemas.openxmlformats.org/officeDocument/2006/custom-properties" xmlns:vt="http://schemas.openxmlformats.org/officeDocument/2006/docPropsVTypes"/>
</file>