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0" w:line="240"/>
        <w:jc w:val="center"/>
      </w:pPr>
      <w:r>
        <w:rPr>
          <w:rFonts w:ascii="Aptos" w:cs="Aptos" w:eastAsia="Aptos" w:hAnsi="Aptos"/>
          <w:b/>
          <w:bCs/>
          <w:color w:val="00A1DE"/>
          <w:sz w:val="20"/>
          <w:szCs w:val="20"/>
        </w:rPr>
        <w:t xml:space="preserve">RWANDA MINES, PETROLEUM AND GAS BOARD</w:t>
      </w:r>
    </w:p>
    <w:p>
      <w:pPr>
        <w:spacing w:after="300" w:before="0" w:line="240"/>
        <w:jc w:val="center"/>
      </w:pPr>
      <w:r>
        <w:rPr>
          <w:rFonts w:ascii="Aptos" w:cs="Aptos" w:eastAsia="Aptos" w:hAnsi="Aptos"/>
          <w:color w:val="6B7A87"/>
          <w:sz w:val="18"/>
          <w:szCs w:val="18"/>
        </w:rPr>
        <w:t xml:space="preserve">Mineral trading policy and sector oversight</w:t>
      </w:r>
    </w:p>
    <w:p>
      <w:pPr>
        <w:spacing w:after="80" w:before="0" w:line="340"/>
        <w:jc w:val="center"/>
      </w:pPr>
      <w:r>
        <w:rPr>
          <w:rFonts w:ascii="Georgia" w:cs="Georgia" w:eastAsia="Georgia" w:hAnsi="Georgia"/>
          <w:b/>
          <w:bCs/>
          <w:color w:val="0B2A3D"/>
          <w:sz w:val="26"/>
          <w:szCs w:val="26"/>
        </w:rPr>
        <w:t xml:space="preserve">Board of Directors meeting of 1 September 2026</w:t>
      </w:r>
    </w:p>
    <w:p>
      <w:pPr>
        <w:spacing w:after="120" w:before="0" w:line="440"/>
        <w:jc w:val="center"/>
      </w:pPr>
      <w:r>
        <w:rPr>
          <w:rFonts w:ascii="Georgia" w:cs="Georgia" w:eastAsia="Georgia" w:hAnsi="Georgia"/>
          <w:b/>
          <w:bCs/>
          <w:color w:val="0B2A3D"/>
          <w:sz w:val="34"/>
          <w:szCs w:val="34"/>
        </w:rPr>
        <w:t xml:space="preserve">Requirements, objectives and implementation action plan</w:t>
      </w:r>
    </w:p>
    <w:p>
      <w:pPr>
        <w:spacing w:after="260" w:before="0" w:line="240"/>
        <w:jc w:val="center"/>
      </w:pPr>
      <w:r>
        <w:rPr>
          <w:rFonts w:ascii="Aptos" w:cs="Aptos" w:eastAsia="Aptos" w:hAnsi="Aptos"/>
          <w:i/>
          <w:iCs/>
          <w:color w:val="6B7A87"/>
          <w:sz w:val="19"/>
          <w:szCs w:val="19"/>
        </w:rPr>
        <w:t xml:space="preserve">Detailed version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500"/>
        <w:gridCol w:w="7706"/>
      </w:tblGrid>
      <w:tr>
        <w:trPr>
          <w:tblHeader/>
        </w:trPr>
        <w:tc>
          <w:tcPr>
            <w:tcW w:type="dxa" w:w="25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Item</w:t>
            </w:r>
          </w:p>
        </w:tc>
        <w:tc>
          <w:tcPr>
            <w:tcW w:type="dxa" w:w="77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Detail</w:t>
            </w:r>
          </w:p>
        </w:tc>
      </w:tr>
      <w:tr>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Document</w:t>
            </w:r>
          </w:p>
        </w:tc>
        <w:tc>
          <w:tcPr>
            <w:tcW w:type="dxa" w:w="7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Response to the requirements retained from the RMB Board of Directors meeting of 1 September 2026</w:t>
            </w:r>
          </w:p>
        </w:tc>
      </w:tr>
      <w:tr>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Prepared by</w:t>
            </w:r>
          </w:p>
        </w:tc>
        <w:tc>
          <w:tcPr>
            <w:tcW w:type="dxa" w:w="77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Jean Jacques, mineral market intelligence expert, RMB</w:t>
            </w:r>
          </w:p>
        </w:tc>
      </w:tr>
      <w:tr>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Date</w:t>
            </w:r>
          </w:p>
        </w:tc>
        <w:tc>
          <w:tcPr>
            <w:tcW w:type="dxa" w:w="7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5 September 2026</w:t>
            </w:r>
          </w:p>
        </w:tc>
      </w:tr>
      <w:tr>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Version</w:t>
            </w:r>
          </w:p>
        </w:tc>
        <w:tc>
          <w:tcPr>
            <w:tcW w:type="dxa" w:w="77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v3, detailed version. A condensed version of five pages exists for readers who need only the essentials.</w:t>
            </w:r>
          </w:p>
        </w:tc>
      </w:tr>
      <w:tr>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Status</w:t>
            </w:r>
          </w:p>
        </w:tc>
        <w:tc>
          <w:tcPr>
            <w:tcW w:type="dxa" w:w="7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Draft. Responsibilities marked (P) are proposals requiring confirmation.</w:t>
            </w:r>
          </w:p>
        </w:tc>
      </w:tr>
      <w:tr>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Submitted to</w:t>
            </w:r>
          </w:p>
        </w:tc>
        <w:tc>
          <w:tcPr>
            <w:tcW w:type="dxa" w:w="77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RMB Senior Management, and the informal Board finance committee chaired by Mr. Dorian Cyubahiro</w:t>
            </w:r>
          </w:p>
        </w:tc>
      </w:tr>
      <w:tr>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Programme horizon</w:t>
            </w:r>
          </w:p>
        </w:tc>
        <w:tc>
          <w:tcPr>
            <w:tcW w:type="dxa" w:w="7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1 September 2026 to 31 May 2027 (D+0 to D+272), with tangible results at the Board meeting of early December 2026</w:t>
            </w:r>
          </w:p>
        </w:tc>
      </w:tr>
      <w:tr>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Online version</w:t>
            </w:r>
          </w:p>
        </w:tc>
        <w:tc>
          <w:tcPr>
            <w:tcW w:type="dxa" w:w="77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https://jeanjacques-mutabaruka.github.io/rmb-bod-request-2026-09-01/</w:t>
            </w:r>
          </w:p>
        </w:tc>
      </w:tr>
    </w:tbl>
    <w:p>
      <w:pPr>
        <w:spacing w:after="2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FAD201" w:sz="24"/>
              <w:bottom w:val="none" w:color="FFFFFF" w:sz="0"/>
              <w:right w:val="none" w:color="FFFFFF" w:sz="0"/>
            </w:tcBorders>
            <w:shd w:fill="EEF3F7" w:color="auto" w:val="clear"/>
            <w:tcMar>
              <w:top w:type="dxa" w:w="120"/>
              <w:left w:type="dxa" w:w="80"/>
              <w:bottom w:type="dxa" w:w="120"/>
              <w:right w:type="dxa" w:w="80"/>
            </w:tcMar>
            <w:vAlign w:val="center"/>
          </w:tcPr>
          <w:p>
            <w:pPr>
              <w:spacing w:after="80" w:before="0" w:line="240"/>
              <w:jc w:val="both"/>
            </w:pPr>
            <w:r>
              <w:rPr>
                <w:rFonts w:ascii="Aptos" w:cs="Aptos" w:eastAsia="Aptos" w:hAnsi="Aptos"/>
                <w:b/>
                <w:bCs/>
                <w:color w:val="1A1A1A"/>
                <w:sz w:val="19"/>
                <w:szCs w:val="19"/>
              </w:rPr>
              <w:t xml:space="preserve">Purpose of this document</w:t>
            </w:r>
          </w:p>
          <w:p>
            <w:pPr>
              <w:spacing w:after="80" w:before="0" w:line="240"/>
              <w:jc w:val="both"/>
            </w:pPr>
            <w:r>
              <w:rPr>
                <w:rFonts w:ascii="Aptos" w:cs="Aptos" w:eastAsia="Aptos" w:hAnsi="Aptos"/>
                <w:color w:val="1A1A1A"/>
                <w:sz w:val="19"/>
                <w:szCs w:val="19"/>
              </w:rPr>
              <w:t xml:space="preserve">Section 1 records the requirements retained from the Board meeting. Everything that follows responds to them: the objectives, what the Board sees at its December 2026 meeting, a detailed action plan with named owners and dated deliverables, a schedule, the governance and reporting arrangements, and the automation levers that make the whole system operable with the resources RMB actually has.</w:t>
            </w:r>
          </w:p>
          <w:p>
            <w:pPr>
              <w:spacing w:after="0" w:before="0" w:line="240"/>
              <w:jc w:val="both"/>
            </w:pPr>
            <w:r>
              <w:rPr>
                <w:rFonts w:ascii="Aptos" w:cs="Aptos" w:eastAsia="Aptos" w:hAnsi="Aptos"/>
                <w:color w:val="1A1A1A"/>
                <w:sz w:val="19"/>
                <w:szCs w:val="19"/>
              </w:rPr>
              <w:t xml:space="preserve">Dates carry a day count in brackets. D+0 is 1 September 2026, the day after the Board meeting, so D+90 means ninety days from that date.</w:t>
            </w:r>
          </w:p>
        </w:tc>
      </w:tr>
    </w:tbl>
    <w:p>
      <w:pPr>
        <w:spacing w:after="12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Contents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900"/>
        <w:gridCol w:w="1306"/>
      </w:tblGrid>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1. Requirements retained from the Board meeting</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2</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2. Objectives</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3</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3. What the Board sees at its December 2026 meeting</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5</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4. Action plan</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6</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5. Schedule</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12</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6. Responsibilities, reporting and decision-making</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16</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7. Automation and artificial intelligence</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18</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Annex A. Glossary of abbreviations</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19</w:t>
            </w:r>
          </w:p>
        </w:tc>
      </w:tr>
      <w:tr>
        <w:tc>
          <w:tcPr>
            <w:tcW w:type="dxa" w:w="8900"/>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left"/>
            </w:pPr>
            <w:r>
              <w:rPr>
                <w:rFonts w:ascii="Aptos" w:cs="Aptos" w:eastAsia="Aptos" w:hAnsi="Aptos"/>
                <w:color w:val="0B2A3D"/>
                <w:sz w:val="19"/>
                <w:szCs w:val="19"/>
              </w:rPr>
              <w:t xml:space="preserve">Annex B. Offices taking part in this plan</w:t>
            </w:r>
          </w:p>
        </w:tc>
        <w:tc>
          <w:tcPr>
            <w:tcW w:type="dxa" w:w="1306"/>
            <w:tcBorders>
              <w:top w:val="none" w:color="FFFFFF" w:sz="0"/>
              <w:left w:val="none" w:color="FFFFFF" w:sz="0"/>
              <w:bottom w:val="none" w:color="FFFFFF" w:sz="0"/>
              <w:right w:val="none" w:color="FFFFFF" w:sz="0"/>
            </w:tcBorders>
            <w:tcMar>
              <w:top w:type="dxa" w:w="0"/>
              <w:left w:type="dxa" w:w="80"/>
              <w:bottom w:type="dxa" w:w="0"/>
              <w:right w:type="dxa" w:w="80"/>
            </w:tcMar>
            <w:vAlign w:val="center"/>
          </w:tcPr>
          <w:p>
            <w:pPr>
              <w:spacing w:after="60" w:before="60" w:line="240"/>
              <w:jc w:val="right"/>
            </w:pPr>
            <w:r>
              <w:rPr>
                <w:rFonts w:ascii="Aptos" w:cs="Aptos" w:eastAsia="Aptos" w:hAnsi="Aptos"/>
                <w:b/>
                <w:bCs/>
                <w:color w:val="0B2A3D"/>
                <w:sz w:val="19"/>
                <w:szCs w:val="19"/>
              </w:rPr>
              <w:t xml:space="preserve">20</w:t>
            </w:r>
          </w:p>
        </w:tc>
      </w:tr>
    </w:tbl>
    <w:p>
      <w:r>
        <w:br w:type="page"/>
      </w:r>
    </w:p>
    <w:p>
      <w:pPr>
        <w:pStyle w:val="Heading1"/>
        <w:pBdr>
          <w:bottom w:val="single" w:color="00A1DE" w:sz="12" w:space="4"/>
        </w:pBdr>
        <w:spacing w:after="140" w:before="320"/>
      </w:pPr>
      <w:r>
        <w:rPr>
          <w:rFonts w:ascii="Georgia" w:cs="Georgia" w:eastAsia="Georgia" w:hAnsi="Georgia"/>
          <w:b/>
          <w:bCs/>
          <w:color w:val="0B2A3D"/>
          <w:sz w:val="28"/>
          <w:szCs w:val="28"/>
        </w:rPr>
        <w:t xml:space="preserve">1. Requirements retained from the Board meeting</w:t>
      </w:r>
    </w:p>
    <w:p>
      <w:pPr>
        <w:spacing w:after="120" w:before="0" w:line="240"/>
        <w:jc w:val="both"/>
      </w:pPr>
      <w:r>
        <w:rPr>
          <w:rFonts w:ascii="Aptos" w:cs="Aptos" w:eastAsia="Aptos" w:hAnsi="Aptos"/>
          <w:color w:val="1A1A1A"/>
          <w:sz w:val="20"/>
          <w:szCs w:val="20"/>
        </w:rPr>
        <w:t xml:space="preserve">The five points below are what was retained from the Board of Directors meeting held on 1 September 2026 on mineral trading and on the cleaning of mining sector licences. They are numbered in the order of priority now given to them, and the workstreams are numbered to match.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20"/>
        <w:gridCol w:w="2400"/>
        <w:gridCol w:w="3400"/>
        <w:gridCol w:w="3886"/>
      </w:tblGrid>
      <w:tr>
        <w:trPr>
          <w:tblHeader/>
        </w:trPr>
        <w:tc>
          <w:tcPr>
            <w:tcW w:type="dxa" w:w="5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N°</w:t>
            </w:r>
          </w:p>
        </w:tc>
        <w:tc>
          <w:tcPr>
            <w:tcW w:type="dxa" w:w="2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Requirement</w:t>
            </w:r>
          </w:p>
        </w:tc>
        <w:tc>
          <w:tcPr>
            <w:tcW w:type="dxa" w:w="3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What the Board is asking for</w:t>
            </w:r>
          </w:p>
        </w:tc>
        <w:tc>
          <w:tcPr>
            <w:tcW w:type="dxa" w:w="388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How it is addressed</w:t>
            </w:r>
          </w:p>
        </w:tc>
      </w:tr>
      <w:tr>
        <w:tc>
          <w:tcPr>
            <w:tcW w:type="dxa" w:w="5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20"/>
                <w:szCs w:val="20"/>
              </w:rPr>
              <w:t xml:space="preserve">1</w:t>
            </w:r>
          </w:p>
        </w:tc>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40" w:before="60" w:line="240"/>
              <w:jc w:val="left"/>
            </w:pPr>
            <w:r>
              <w:rPr>
                <w:rFonts w:ascii="Aptos" w:cs="Aptos" w:eastAsia="Aptos" w:hAnsi="Aptos"/>
                <w:b/>
                <w:bCs/>
                <w:color w:val="0B2A3D"/>
                <w:sz w:val="18"/>
                <w:szCs w:val="18"/>
              </w:rPr>
              <w:t xml:space="preserve">Controlling what is happening in companies</w:t>
            </w:r>
          </w:p>
          <w:p>
            <w:pPr>
              <w:shd w:fill="1A5C38" w:color="auto" w:val="clear"/>
              <w:spacing w:after="60" w:before="0" w:line="240"/>
              <w:jc w:val="center"/>
            </w:pPr>
            <w:r>
              <w:rPr>
                <w:rFonts w:ascii="Aptos" w:cs="Aptos" w:eastAsia="Aptos" w:hAnsi="Aptos"/>
                <w:color w:val="FFFFFF"/>
                <w:sz w:val="14"/>
                <w:szCs w:val="14"/>
              </w:rPr>
              <w:t xml:space="preserve">WS1</w:t>
            </w:r>
          </w:p>
        </w:tc>
        <w:tc>
          <w:tcPr>
            <w:tcW w:type="dxa" w:w="3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The Board Chair proposed that Government hold shares in companies in order to secure access to information. The requirement behind the proposal is effective access to what is really happening inside operators.</w:t>
            </w:r>
          </w:p>
        </w:tc>
        <w:tc>
          <w:tcPr>
            <w:tcW w:type="dxa" w:w="38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WS1 delivers the same objective, more completely, through consistent enforcement of the reporting obligations the law already allows, applied uniformly to every licensee. A demonstration platform where companies upload their financial data and receive automated analysis is live by 31 October 2026, before any decision on a permanent system is asked of the Board. An options paper sets shareholding, reporting and a hybrid side by side for the Board to arbitrate.</w:t>
            </w:r>
          </w:p>
        </w:tc>
      </w:tr>
      <w:tr>
        <w:tc>
          <w:tcPr>
            <w:tcW w:type="dxa" w:w="5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20"/>
                <w:szCs w:val="20"/>
              </w:rPr>
              <w:t xml:space="preserve">2</w:t>
            </w:r>
          </w:p>
        </w:tc>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40" w:before="60" w:line="240"/>
              <w:jc w:val="left"/>
            </w:pPr>
            <w:r>
              <w:rPr>
                <w:rFonts w:ascii="Aptos" w:cs="Aptos" w:eastAsia="Aptos" w:hAnsi="Aptos"/>
                <w:b/>
                <w:bCs/>
                <w:color w:val="0B2A3D"/>
                <w:sz w:val="18"/>
                <w:szCs w:val="18"/>
              </w:rPr>
              <w:t xml:space="preserve">Cleaning fake and dormant licences</w:t>
            </w:r>
          </w:p>
          <w:p>
            <w:pPr>
              <w:shd w:fill="B8860B" w:color="auto" w:val="clear"/>
              <w:spacing w:after="60" w:before="0" w:line="240"/>
              <w:jc w:val="center"/>
            </w:pPr>
            <w:r>
              <w:rPr>
                <w:rFonts w:ascii="Aptos" w:cs="Aptos" w:eastAsia="Aptos" w:hAnsi="Aptos"/>
                <w:color w:val="FFFFFF"/>
                <w:sz w:val="14"/>
                <w:szCs w:val="14"/>
              </w:rPr>
              <w:t xml:space="preserve">WS2</w:t>
            </w:r>
          </w:p>
        </w:tc>
        <w:tc>
          <w:tcPr>
            <w:tcW w:type="dxa" w:w="3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The clean-up must be done regularly and continuously, not as a campaign every three to five years.</w:t>
            </w:r>
          </w:p>
        </w:tc>
        <w:tc>
          <w:tcPr>
            <w:tcW w:type="dxa" w:w="38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WS2 starts with mineral trading companies only, so the first cycle is completed rather than started everywhere. Objective activity and dormancy criteria, then a full mapping of trading licensees by activity level, cash-flow movement and reporting compliance, delivered by 30 November 2026. A due-process warning cycle follows, with revocation decided by the CEO on the recommendation of the competent RMB organ, and permanent monitoring thereafter.</w:t>
            </w:r>
          </w:p>
        </w:tc>
      </w:tr>
      <w:tr>
        <w:tc>
          <w:tcPr>
            <w:tcW w:type="dxa" w:w="5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20"/>
                <w:szCs w:val="20"/>
              </w:rPr>
              <w:t xml:space="preserve">3</w:t>
            </w:r>
          </w:p>
        </w:tc>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40" w:before="60" w:line="240"/>
              <w:jc w:val="left"/>
            </w:pPr>
            <w:r>
              <w:rPr>
                <w:rFonts w:ascii="Aptos" w:cs="Aptos" w:eastAsia="Aptos" w:hAnsi="Aptos"/>
                <w:b/>
                <w:bCs/>
                <w:color w:val="0B2A3D"/>
                <w:sz w:val="18"/>
                <w:szCs w:val="18"/>
              </w:rPr>
              <w:t xml:space="preserve">Efficient and adapted financing mechanisms and framework</w:t>
            </w:r>
          </w:p>
          <w:p>
            <w:pPr>
              <w:shd w:fill="1B6CA8" w:color="auto" w:val="clear"/>
              <w:spacing w:after="60" w:before="0" w:line="240"/>
              <w:jc w:val="center"/>
            </w:pPr>
            <w:r>
              <w:rPr>
                <w:rFonts w:ascii="Aptos" w:cs="Aptos" w:eastAsia="Aptos" w:hAnsi="Aptos"/>
                <w:color w:val="FFFFFF"/>
                <w:sz w:val="14"/>
                <w:szCs w:val="14"/>
              </w:rPr>
              <w:t xml:space="preserve">WS3</w:t>
            </w:r>
          </w:p>
        </w:tc>
        <w:tc>
          <w:tcPr>
            <w:tcW w:type="dxa" w:w="3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Find financing mechanisms tailored to the mining sector: a mining fund, and active engagement of the financial sector.</w:t>
            </w:r>
          </w:p>
        </w:tc>
        <w:tc>
          <w:tcPr>
            <w:tcW w:type="dxa" w:w="38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WS3 works on the principle that financing follows de-risking. Map, explain and model the sector's risks, both financial risks and non-financial risks with a financial impact, and build a demonstration model that prices them, by 30 November 2026. That model is what is put in front of banks, insurers and BNR to mobilise them around financing the sector rather than avoiding it.</w:t>
            </w:r>
          </w:p>
        </w:tc>
      </w:tr>
      <w:tr>
        <w:tc>
          <w:tcPr>
            <w:tcW w:type="dxa" w:w="5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20"/>
                <w:szCs w:val="20"/>
              </w:rPr>
              <w:t xml:space="preserve">4</w:t>
            </w:r>
          </w:p>
        </w:tc>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40" w:before="60" w:line="240"/>
              <w:jc w:val="left"/>
            </w:pPr>
            <w:r>
              <w:rPr>
                <w:rFonts w:ascii="Aptos" w:cs="Aptos" w:eastAsia="Aptos" w:hAnsi="Aptos"/>
                <w:b/>
                <w:bCs/>
                <w:color w:val="0B2A3D"/>
                <w:sz w:val="18"/>
                <w:szCs w:val="18"/>
              </w:rPr>
              <w:t xml:space="preserve">Price predictability for processing-plant investors</w:t>
            </w:r>
          </w:p>
          <w:p>
            <w:pPr>
              <w:shd w:fill="5B2C6F" w:color="auto" w:val="clear"/>
              <w:spacing w:after="60" w:before="0" w:line="240"/>
              <w:jc w:val="center"/>
            </w:pPr>
            <w:r>
              <w:rPr>
                <w:rFonts w:ascii="Aptos" w:cs="Aptos" w:eastAsia="Aptos" w:hAnsi="Aptos"/>
                <w:color w:val="FFFFFF"/>
                <w:sz w:val="14"/>
                <w:szCs w:val="14"/>
              </w:rPr>
              <w:t xml:space="preserve">WS4</w:t>
            </w:r>
          </w:p>
        </w:tc>
        <w:tc>
          <w:tcPr>
            <w:tcW w:type="dxa" w:w="3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How to reconcile a moving, volatile market with the price predictability that investors in processing plants require before committing capital.</w:t>
            </w:r>
          </w:p>
        </w:tc>
        <w:tc>
          <w:tcPr>
            <w:tcW w:type="dxa" w:w="38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WS4 maps and monitors prices and costs across the whole value chain, then separates what Rwanda can control directly (regulation, published deductions, contract minimum content) from what it can only influence indirectly (offtake contracts, index-linked formulas, hedging). A monitoring dashboard and the first quarterly outlook follow by 31 May 2027.</w:t>
            </w:r>
          </w:p>
        </w:tc>
      </w:tr>
      <w:tr>
        <w:tc>
          <w:tcPr>
            <w:tcW w:type="dxa" w:w="5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20"/>
                <w:szCs w:val="20"/>
              </w:rPr>
              <w:t xml:space="preserve">5</w:t>
            </w:r>
          </w:p>
        </w:tc>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40" w:before="60" w:line="240"/>
              <w:jc w:val="left"/>
            </w:pPr>
            <w:r>
              <w:rPr>
                <w:rFonts w:ascii="Aptos" w:cs="Aptos" w:eastAsia="Aptos" w:hAnsi="Aptos"/>
                <w:b/>
                <w:bCs/>
                <w:color w:val="0B2A3D"/>
                <w:sz w:val="18"/>
                <w:szCs w:val="18"/>
              </w:rPr>
              <w:t xml:space="preserve">Clear action plan with deadlines and responsibilities</w:t>
            </w:r>
          </w:p>
          <w:p>
            <w:pPr>
              <w:shd w:fill="6B7B6F" w:color="auto" w:val="clear"/>
              <w:spacing w:after="60" w:before="0" w:line="240"/>
              <w:jc w:val="center"/>
            </w:pPr>
            <w:r>
              <w:rPr>
                <w:rFonts w:ascii="Aptos" w:cs="Aptos" w:eastAsia="Aptos" w:hAnsi="Aptos"/>
                <w:color w:val="FFFFFF"/>
                <w:sz w:val="14"/>
                <w:szCs w:val="14"/>
              </w:rPr>
              <w:t xml:space="preserve">WS5</w:t>
            </w:r>
          </w:p>
        </w:tc>
        <w:tc>
          <w:tcPr>
            <w:tcW w:type="dxa" w:w="3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Set out clearly what has to be done and who is in charge.</w:t>
            </w:r>
          </w:p>
        </w:tc>
        <w:tc>
          <w:tcPr>
            <w:tcW w:type="dxa" w:w="38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This document. WS5 and WS6 give every activity a named owner, a deliverable, a start date and a due date; a dual reporting line to RMB Senior Management and to the informal Board finance committee chaired by Mr. Dorian Cyubahiro; a defined decision workflow with service levels; and a progress pack ready for the Board meeting of early December 2026.</w:t>
            </w:r>
          </w:p>
        </w:tc>
      </w:tr>
    </w:tbl>
    <w:p>
      <w:pPr>
        <w:spacing w:after="160" w:before="0"/>
      </w:pPr>
    </w:p>
    <w:p>
      <w:pPr>
        <w:pStyle w:val="Heading2"/>
        <w:spacing w:after="100" w:before="240"/>
      </w:pPr>
      <w:r>
        <w:rPr>
          <w:rFonts w:ascii="Georgia" w:cs="Georgia" w:eastAsia="Georgia" w:hAnsi="Georgia"/>
          <w:b/>
          <w:bCs/>
          <w:color w:val="0B2A3D"/>
          <w:sz w:val="23"/>
          <w:szCs w:val="23"/>
        </w:rPr>
        <w:t xml:space="preserve">1.1  How the five points connect</w:t>
      </w:r>
    </w:p>
    <w:p>
      <w:pPr>
        <w:spacing w:after="120" w:before="0" w:line="240"/>
        <w:jc w:val="both"/>
      </w:pPr>
      <w:r>
        <w:rPr>
          <w:rFonts w:ascii="Aptos" w:cs="Aptos" w:eastAsia="Aptos" w:hAnsi="Aptos"/>
          <w:color w:val="1A1A1A"/>
          <w:sz w:val="20"/>
          <w:szCs w:val="20"/>
        </w:rPr>
        <w:t xml:space="preserve">The five requirements are not five separate projects. Three of them depend on the same missing capability: RMB does not today see, in a systematic and timely way, what is actually happening inside the companies it regulates.</w:t>
      </w:r>
    </w:p>
    <w:p>
      <w:pPr>
        <w:pStyle w:val="ListParagraph"/>
        <w:numPr>
          <w:ilvl w:val="0"/>
          <w:numId w:val="2"/>
        </w:numPr>
        <w:spacing w:after="120" w:before="0" w:line="240"/>
        <w:jc w:val="both"/>
      </w:pPr>
      <w:r>
        <w:rPr>
          <w:rFonts w:ascii="Aptos" w:cs="Aptos" w:eastAsia="Aptos" w:hAnsi="Aptos"/>
          <w:color w:val="1A1A1A"/>
          <w:sz w:val="20"/>
          <w:szCs w:val="20"/>
        </w:rPr>
        <w:t xml:space="preserve">Licences cannot be cleaned objectively and continuously if activity and dormancy are not observable from data that arrives on its own, rather than from a campaign every three to five years.</w:t>
      </w:r>
    </w:p>
    <w:p>
      <w:pPr>
        <w:pStyle w:val="ListParagraph"/>
        <w:numPr>
          <w:ilvl w:val="0"/>
          <w:numId w:val="2"/>
        </w:numPr>
        <w:spacing w:after="120" w:before="0" w:line="240"/>
        <w:jc w:val="both"/>
      </w:pPr>
      <w:r>
        <w:rPr>
          <w:rFonts w:ascii="Aptos" w:cs="Aptos" w:eastAsia="Aptos" w:hAnsi="Aptos"/>
          <w:color w:val="1A1A1A"/>
          <w:sz w:val="20"/>
          <w:szCs w:val="20"/>
        </w:rPr>
        <w:t xml:space="preserve">Financing cannot be mobilised sustainably if the sector's risks are not mapped, priced and monitored, because a lender's first question is always what evidence exists that the risk is being watched.</w:t>
      </w:r>
    </w:p>
    <w:p>
      <w:pPr>
        <w:pStyle w:val="ListParagraph"/>
        <w:numPr>
          <w:ilvl w:val="0"/>
          <w:numId w:val="2"/>
        </w:numPr>
        <w:spacing w:after="120" w:before="0" w:line="240"/>
        <w:jc w:val="both"/>
      </w:pPr>
      <w:r>
        <w:rPr>
          <w:rFonts w:ascii="Aptos" w:cs="Aptos" w:eastAsia="Aptos" w:hAnsi="Aptos"/>
          <w:color w:val="1A1A1A"/>
          <w:sz w:val="20"/>
          <w:szCs w:val="20"/>
        </w:rPr>
        <w:t xml:space="preserve">Price predictability cannot be offered to an investor if the real costs along the value chain are not measured, because the only honest basis for a forward view is a mapped cost structure.</w:t>
      </w:r>
    </w:p>
    <w:p>
      <w:pPr>
        <w:spacing w:after="6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00A1DE" w:sz="24"/>
              <w:bottom w:val="none" w:color="FFFFFF" w:sz="0"/>
              <w:right w:val="none" w:color="FFFFFF" w:sz="0"/>
            </w:tcBorders>
            <w:shd w:fill="EEF3F7" w:color="auto" w:val="clear"/>
            <w:tcMar>
              <w:top w:type="dxa" w:w="120"/>
              <w:left w:type="dxa" w:w="80"/>
              <w:bottom w:type="dxa" w:w="120"/>
              <w:right w:type="dxa" w:w="80"/>
            </w:tcMar>
            <w:vAlign w:val="center"/>
          </w:tcPr>
          <w:p>
            <w:pPr>
              <w:spacing w:after="80" w:before="0" w:line="240"/>
              <w:jc w:val="both"/>
            </w:pPr>
            <w:r>
              <w:rPr>
                <w:rFonts w:ascii="Aptos" w:cs="Aptos" w:eastAsia="Aptos" w:hAnsi="Aptos"/>
                <w:b/>
                <w:bCs/>
                <w:color w:val="1A1A1A"/>
                <w:sz w:val="19"/>
                <w:szCs w:val="19"/>
              </w:rPr>
              <w:t xml:space="preserve">The keystone</w:t>
            </w:r>
          </w:p>
          <w:p>
            <w:pPr>
              <w:spacing w:after="0" w:before="0" w:line="240"/>
              <w:jc w:val="both"/>
            </w:pPr>
            <w:r>
              <w:rPr>
                <w:rFonts w:ascii="Aptos" w:cs="Aptos" w:eastAsia="Aptos" w:hAnsi="Aptos"/>
                <w:color w:val="1A1A1A"/>
                <w:sz w:val="19"/>
                <w:szCs w:val="19"/>
              </w:rPr>
              <w:t xml:space="preserve">Establishing systematic visibility over what happens in companies is what makes the other requirements achievable. It is therefore requirement 1 in this plan, and the others are sequenced around it. The action plan point is the discipline that holds the whole thing together.</w:t>
            </w:r>
          </w:p>
        </w:tc>
      </w:tr>
    </w:tbl>
    <w:p>
      <w:pPr>
        <w:spacing w:after="120" w:before="0"/>
      </w:pPr>
    </w:p>
    <w:p>
      <w:pPr>
        <w:pStyle w:val="Heading2"/>
        <w:spacing w:after="100" w:before="240"/>
      </w:pPr>
      <w:r>
        <w:rPr>
          <w:rFonts w:ascii="Georgia" w:cs="Georgia" w:eastAsia="Georgia" w:hAnsi="Georgia"/>
          <w:b/>
          <w:bCs/>
          <w:color w:val="0B2A3D"/>
          <w:sz w:val="23"/>
          <w:szCs w:val="23"/>
        </w:rPr>
        <w:t xml:space="preserve">1.2  A note on the means of obtaining company information</w:t>
      </w:r>
    </w:p>
    <w:p>
      <w:pPr>
        <w:spacing w:after="120" w:before="0" w:line="240"/>
        <w:jc w:val="both"/>
      </w:pPr>
      <w:r>
        <w:rPr>
          <w:rFonts w:ascii="Aptos" w:cs="Aptos" w:eastAsia="Aptos" w:hAnsi="Aptos"/>
          <w:color w:val="1A1A1A"/>
          <w:sz w:val="20"/>
          <w:szCs w:val="20"/>
        </w:rPr>
        <w:t xml:space="preserve">The Board Chair's proposal is that Government take shares in companies in order to secure access to information. The requirement behind the proposal is not in question: RMB does need full and reliable visibility. The question is which instrument delivers it best.</w:t>
      </w:r>
    </w:p>
    <w:p>
      <w:pPr>
        <w:spacing w:after="120" w:before="0" w:line="240"/>
        <w:jc w:val="both"/>
      </w:pPr>
      <w:r>
        <w:rPr>
          <w:rFonts w:ascii="Aptos" w:cs="Aptos" w:eastAsia="Aptos" w:hAnsi="Aptos"/>
          <w:color w:val="1A1A1A"/>
          <w:sz w:val="20"/>
          <w:szCs w:val="20"/>
        </w:rPr>
        <w:t xml:space="preserve">The view proposed for the Board's consideration is that consistent enforcement of the reporting obligations the law already allows can deliver the same information, and more of it, without the State having to become a minority shareholder in each company deemed important. That approach also raises the practical difficulty of defining what makes a company important, and the criteria on which that threshold would rest. Reporting places every company at the same level, and where the frequency or the content of reporting is insufficient it can be revised by law or by regulation. Clear regulations, consistently enforced, should be more efficient here than any other mechanism.</w:t>
      </w:r>
    </w:p>
    <w:p>
      <w:pPr>
        <w:spacing w:after="120" w:before="0" w:line="240"/>
        <w:jc w:val="both"/>
      </w:pPr>
      <w:r>
        <w:rPr>
          <w:rFonts w:ascii="Aptos" w:cs="Aptos" w:eastAsia="Aptos" w:hAnsi="Aptos"/>
          <w:color w:val="1A1A1A"/>
          <w:sz w:val="20"/>
          <w:szCs w:val="20"/>
        </w:rPr>
        <w:t xml:space="preserve">Rather than presenting this as a position, activity A1.3 places the three options (shareholding, regulatory reporting, and a hybrid) side by side against explicit criteria, and leaves the arbitration to the Board. The reporting framework designed in WS1 remains necessary and useful whichever option the Board retains.</w:t>
      </w:r>
    </w:p>
    <w:p>
      <w:pPr>
        <w:spacing w:after="20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2. Objectives</w:t>
      </w:r>
    </w:p>
    <w:p>
      <w:pPr>
        <w:spacing w:after="120" w:before="0" w:line="240"/>
        <w:jc w:val="both"/>
      </w:pPr>
      <w:r>
        <w:rPr>
          <w:rFonts w:ascii="Aptos" w:cs="Aptos" w:eastAsia="Aptos" w:hAnsi="Aptos"/>
          <w:color w:val="1A1A1A"/>
          <w:sz w:val="20"/>
          <w:szCs w:val="20"/>
        </w:rPr>
        <w:t xml:space="preserve">Five specific objectives, one per requirement, in the same priority order. Each is stated with the indicator by which it will be judged and the date by which it is to be met.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20"/>
        <w:gridCol w:w="3900"/>
        <w:gridCol w:w="3600"/>
        <w:gridCol w:w="1986"/>
      </w:tblGrid>
      <w:tr>
        <w:trPr>
          <w:tblHeader/>
        </w:trPr>
        <w:tc>
          <w:tcPr>
            <w:tcW w:type="dxa" w:w="72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Ref.</w:t>
            </w:r>
          </w:p>
        </w:tc>
        <w:tc>
          <w:tcPr>
            <w:tcW w:type="dxa" w:w="39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Objective</w:t>
            </w:r>
          </w:p>
        </w:tc>
        <w:tc>
          <w:tcPr>
            <w:tcW w:type="dxa" w:w="36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Success indicator</w:t>
            </w:r>
          </w:p>
        </w:tc>
        <w:tc>
          <w:tcPr>
            <w:tcW w:type="dxa" w:w="198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Target date</w:t>
            </w:r>
          </w:p>
        </w:tc>
      </w:tr>
      <w:tr>
        <w:tc>
          <w:tcPr>
            <w:tcW w:type="dxa" w:w="7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20" w:before="60" w:line="240"/>
              <w:jc w:val="center"/>
            </w:pPr>
            <w:r>
              <w:rPr>
                <w:rFonts w:ascii="Aptos" w:cs="Aptos" w:eastAsia="Aptos" w:hAnsi="Aptos"/>
                <w:b/>
                <w:bCs/>
                <w:color w:val="0B2A3D"/>
                <w:sz w:val="18"/>
                <w:szCs w:val="18"/>
              </w:rPr>
              <w:t xml:space="preserve">SO1</w:t>
            </w:r>
          </w:p>
          <w:p>
            <w:pPr>
              <w:shd w:fill="1A5C38" w:color="auto" w:val="clear"/>
              <w:spacing w:after="60" w:before="0" w:line="240"/>
              <w:jc w:val="center"/>
            </w:pPr>
            <w:r>
              <w:rPr>
                <w:rFonts w:ascii="Aptos" w:cs="Aptos" w:eastAsia="Aptos" w:hAnsi="Aptos"/>
                <w:color w:val="FFFFFF"/>
                <w:sz w:val="14"/>
                <w:szCs w:val="14"/>
              </w:rPr>
              <w:t xml:space="preserve">WS1</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Give RMB complete, timely and verifiable visibility over every licensed operator, obtained through reporting obligations enforced uniformly on all companies rather than through case-by-case arrangements or shareholdings.</w:t>
            </w:r>
          </w:p>
        </w:tc>
        <w:tc>
          <w:tcPr>
            <w:tcW w:type="dxa" w:w="3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Demonstration platform live and used by volunteer companies from every category; reporting framework approved for all licensee categories; binding instrument submitted; automated validation applied to every submission received.</w:t>
            </w:r>
          </w:p>
        </w:tc>
        <w:tc>
          <w:tcPr>
            <w:tcW w:type="dxa" w:w="19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31 Mar 2027 (D+211)</w:t>
            </w:r>
          </w:p>
        </w:tc>
      </w:tr>
      <w:tr>
        <w:tc>
          <w:tcPr>
            <w:tcW w:type="dxa" w:w="7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20" w:before="60" w:line="240"/>
              <w:jc w:val="center"/>
            </w:pPr>
            <w:r>
              <w:rPr>
                <w:rFonts w:ascii="Aptos" w:cs="Aptos" w:eastAsia="Aptos" w:hAnsi="Aptos"/>
                <w:b/>
                <w:bCs/>
                <w:color w:val="0B2A3D"/>
                <w:sz w:val="18"/>
                <w:szCs w:val="18"/>
              </w:rPr>
              <w:t xml:space="preserve">SO2</w:t>
            </w:r>
          </w:p>
          <w:p>
            <w:pPr>
              <w:shd w:fill="B8860B" w:color="auto" w:val="clear"/>
              <w:spacing w:after="60" w:before="0" w:line="240"/>
              <w:jc w:val="center"/>
            </w:pPr>
            <w:r>
              <w:rPr>
                <w:rFonts w:ascii="Aptos" w:cs="Aptos" w:eastAsia="Aptos" w:hAnsi="Aptos"/>
                <w:color w:val="FFFFFF"/>
                <w:sz w:val="14"/>
                <w:szCs w:val="14"/>
              </w:rPr>
              <w:t xml:space="preserve">WS2</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Make the mineral trading licence register reflect reality on a continuous basis, so that inactive, fictitious or non-compliant titles are identified and resolved as a matter of routine rather than in periodic campaigns.</w:t>
            </w:r>
          </w:p>
        </w:tc>
        <w:tc>
          <w:tcPr>
            <w:tcW w:type="dxa" w:w="3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All mineral trading companies mapped by activity level, cash-flow movement and reporting compliance; warning cycle completed with due process respected; first revocation dossiers decided; continuous monitoring in place.</w:t>
            </w:r>
          </w:p>
        </w:tc>
        <w:tc>
          <w:tcPr>
            <w:tcW w:type="dxa" w:w="19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31 May 2027 (D+272)</w:t>
            </w:r>
          </w:p>
        </w:tc>
      </w:tr>
      <w:tr>
        <w:tc>
          <w:tcPr>
            <w:tcW w:type="dxa" w:w="7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20" w:before="60" w:line="240"/>
              <w:jc w:val="center"/>
            </w:pPr>
            <w:r>
              <w:rPr>
                <w:rFonts w:ascii="Aptos" w:cs="Aptos" w:eastAsia="Aptos" w:hAnsi="Aptos"/>
                <w:b/>
                <w:bCs/>
                <w:color w:val="0B2A3D"/>
                <w:sz w:val="18"/>
                <w:szCs w:val="18"/>
              </w:rPr>
              <w:t xml:space="preserve">SO3</w:t>
            </w:r>
          </w:p>
          <w:p>
            <w:pPr>
              <w:shd w:fill="1B6CA8" w:color="auto" w:val="clear"/>
              <w:spacing w:after="60" w:before="0" w:line="240"/>
              <w:jc w:val="center"/>
            </w:pPr>
            <w:r>
              <w:rPr>
                <w:rFonts w:ascii="Aptos" w:cs="Aptos" w:eastAsia="Aptos" w:hAnsi="Aptos"/>
                <w:color w:val="FFFFFF"/>
                <w:sz w:val="14"/>
                <w:szCs w:val="14"/>
              </w:rPr>
              <w:t xml:space="preserve">WS3</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Reduce the sector's real and perceived risk to the point where financing becomes commercially viable, and put a costed, sector-adapted financing mechanism in front of the Board and MINECOFIN.</w:t>
            </w:r>
          </w:p>
        </w:tc>
        <w:tc>
          <w:tcPr>
            <w:tcW w:type="dxa" w:w="3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Risk map and risk-pricing model built and shared; at least five financial institutions engaged around the model; key risk indicators live; financing concept note and roadmap submitted.</w:t>
            </w:r>
          </w:p>
        </w:tc>
        <w:tc>
          <w:tcPr>
            <w:tcW w:type="dxa" w:w="19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31 May 2027 (D+272)</w:t>
            </w:r>
          </w:p>
        </w:tc>
      </w:tr>
      <w:tr>
        <w:tc>
          <w:tcPr>
            <w:tcW w:type="dxa" w:w="7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20" w:before="60" w:line="240"/>
              <w:jc w:val="center"/>
            </w:pPr>
            <w:r>
              <w:rPr>
                <w:rFonts w:ascii="Aptos" w:cs="Aptos" w:eastAsia="Aptos" w:hAnsi="Aptos"/>
                <w:b/>
                <w:bCs/>
                <w:color w:val="0B2A3D"/>
                <w:sz w:val="18"/>
                <w:szCs w:val="18"/>
              </w:rPr>
              <w:t xml:space="preserve">SO4</w:t>
            </w:r>
          </w:p>
          <w:p>
            <w:pPr>
              <w:shd w:fill="5B2C6F" w:color="auto" w:val="clear"/>
              <w:spacing w:after="60" w:before="0" w:line="240"/>
              <w:jc w:val="center"/>
            </w:pPr>
            <w:r>
              <w:rPr>
                <w:rFonts w:ascii="Aptos" w:cs="Aptos" w:eastAsia="Aptos" w:hAnsi="Aptos"/>
                <w:color w:val="FFFFFF"/>
                <w:sz w:val="14"/>
                <w:szCs w:val="14"/>
              </w:rPr>
              <w:t xml:space="preserve">WS4</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Give investors in processing capacity a defensible forward view of prices and costs, without pretending to fix a volatile market, by making explicit which components Rwanda controls, which it can only influence, and through which instruments.</w:t>
            </w:r>
          </w:p>
        </w:tc>
        <w:tc>
          <w:tcPr>
            <w:tcW w:type="dxa" w:w="3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Value-chain cost map and classification matrix approved by Management; instruments approved by the Board committee; monitoring dashboard live; first quarterly price and cost outlook published.</w:t>
            </w:r>
          </w:p>
        </w:tc>
        <w:tc>
          <w:tcPr>
            <w:tcW w:type="dxa" w:w="19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31 May 2027 (D+272)</w:t>
            </w:r>
          </w:p>
        </w:tc>
      </w:tr>
      <w:tr>
        <w:tc>
          <w:tcPr>
            <w:tcW w:type="dxa" w:w="720"/>
            <w:tcBorders>
              <w:top w:val="single" w:color="C7D2DA" w:sz="2"/>
              <w:left w:val="single" w:color="C7D2DA" w:sz="2"/>
              <w:bottom w:val="single" w:color="C7D2DA" w:sz="2"/>
              <w:right w:val="single" w:color="C7D2DA" w:sz="2"/>
            </w:tcBorders>
            <w:shd w:fill="EEF3F7" w:color="auto" w:val="clear"/>
            <w:tcMar>
              <w:top w:type="dxa" w:w="0"/>
              <w:left w:type="dxa" w:w="80"/>
              <w:bottom w:type="dxa" w:w="0"/>
              <w:right w:type="dxa" w:w="80"/>
            </w:tcMar>
            <w:vAlign w:val="center"/>
          </w:tcPr>
          <w:p>
            <w:pPr>
              <w:spacing w:after="20" w:before="60" w:line="240"/>
              <w:jc w:val="center"/>
            </w:pPr>
            <w:r>
              <w:rPr>
                <w:rFonts w:ascii="Aptos" w:cs="Aptos" w:eastAsia="Aptos" w:hAnsi="Aptos"/>
                <w:b/>
                <w:bCs/>
                <w:color w:val="0B2A3D"/>
                <w:sz w:val="18"/>
                <w:szCs w:val="18"/>
              </w:rPr>
              <w:t xml:space="preserve">SO5</w:t>
            </w:r>
          </w:p>
          <w:p>
            <w:pPr>
              <w:shd w:fill="6B7B6F" w:color="auto" w:val="clear"/>
              <w:spacing w:after="60" w:before="0" w:line="240"/>
              <w:jc w:val="center"/>
            </w:pPr>
            <w:r>
              <w:rPr>
                <w:rFonts w:ascii="Aptos" w:cs="Aptos" w:eastAsia="Aptos" w:hAnsi="Aptos"/>
                <w:color w:val="FFFFFF"/>
                <w:sz w:val="14"/>
                <w:szCs w:val="14"/>
              </w:rPr>
              <w:t xml:space="preserve">WS5</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Ensure that every action carries a named owner, a deadline and a reporting channel, and that the Board sees tangible results at its December 2026 meeting rather than a progress narrative.</w:t>
            </w:r>
          </w:p>
        </w:tc>
        <w:tc>
          <w:tcPr>
            <w:tcW w:type="dxa" w:w="3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Flagship deliverables demonstrated at the December 2026 Board meeting; monthly written report to Senior Management; quarterly report to the Board committee; at least 90 % of milestones met or formally re-baselined.</w:t>
            </w:r>
          </w:p>
        </w:tc>
        <w:tc>
          <w:tcPr>
            <w:tcW w:type="dxa" w:w="198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31 Dec 2026 (D+121)</w:t>
            </w:r>
          </w:p>
        </w:tc>
      </w:tr>
    </w:tbl>
    <w:p>
      <w:pPr>
        <w:spacing w:after="160" w:before="0"/>
      </w:pPr>
    </w:p>
    <w:p>
      <w:pPr>
        <w:pStyle w:val="Heading2"/>
        <w:spacing w:after="100" w:before="240"/>
      </w:pPr>
      <w:r>
        <w:rPr>
          <w:rFonts w:ascii="Georgia" w:cs="Georgia" w:eastAsia="Georgia" w:hAnsi="Georgia"/>
          <w:b/>
          <w:bCs/>
          <w:color w:val="0B2A3D"/>
          <w:sz w:val="23"/>
          <w:szCs w:val="23"/>
        </w:rPr>
        <w:t xml:space="preserve">2.1  Workstreams</w:t>
      </w:r>
    </w:p>
    <w:p>
      <w:pPr>
        <w:spacing w:after="120" w:before="0" w:line="240"/>
        <w:jc w:val="both"/>
      </w:pPr>
      <w:r>
        <w:rPr>
          <w:rFonts w:ascii="Aptos" w:cs="Aptos" w:eastAsia="Aptos" w:hAnsi="Aptos"/>
          <w:color w:val="1A1A1A"/>
          <w:sz w:val="20"/>
          <w:szCs w:val="20"/>
        </w:rPr>
        <w:t xml:space="preserve">The action plan is organised into six workstreams. WS1 to WS5 answer the five requirements in order; WS6 is cross-cutting and supports all of them.</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800"/>
        <w:gridCol w:w="3200"/>
        <w:gridCol w:w="4206"/>
        <w:gridCol w:w="2000"/>
      </w:tblGrid>
      <w:tr>
        <w:trPr>
          <w:tblHeader/>
        </w:trPr>
        <w:tc>
          <w:tcPr>
            <w:tcW w:type="dxa" w:w="8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Ref.</w:t>
            </w:r>
          </w:p>
        </w:tc>
        <w:tc>
          <w:tcPr>
            <w:tcW w:type="dxa" w:w="32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Workstream</w:t>
            </w:r>
          </w:p>
        </w:tc>
        <w:tc>
          <w:tcPr>
            <w:tcW w:type="dxa" w:w="42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Purpose</w:t>
            </w:r>
          </w:p>
        </w:tc>
        <w:tc>
          <w:tcPr>
            <w:tcW w:type="dxa" w:w="2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Runs</w:t>
            </w:r>
          </w:p>
        </w:tc>
      </w:tr>
      <w:tr>
        <w:tc>
          <w:tcPr>
            <w:tcW w:type="dxa" w:w="8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WS1</w:t>
            </w:r>
          </w:p>
        </w:tc>
        <w:tc>
          <w:tcPr>
            <w:tcW w:type="dxa" w:w="3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Company oversight through enforced reporting</w:t>
            </w:r>
          </w:p>
        </w:tc>
        <w:tc>
          <w:tcPr>
            <w:tcW w:type="dxa" w:w="4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Builds systematic visibility over operators: a demonstration reporting and analysis platform, a uniform reporting framework, and an automated analysis layer.</w:t>
            </w:r>
          </w:p>
        </w:tc>
        <w:tc>
          <w:tcPr>
            <w:tcW w:type="dxa" w:w="2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0" w:before="60" w:line="240"/>
              <w:jc w:val="center"/>
            </w:pPr>
            <w:r>
              <w:rPr>
                <w:rFonts w:ascii="Aptos" w:cs="Aptos" w:eastAsia="Aptos" w:hAnsi="Aptos"/>
                <w:b/>
                <w:bCs/>
                <w:color w:val="0B2A3D"/>
                <w:sz w:val="16"/>
                <w:szCs w:val="16"/>
              </w:rPr>
              <w:t xml:space="preserve">08 Sep 2026 to 31 May 2027</w:t>
            </w:r>
          </w:p>
          <w:p>
            <w:pPr>
              <w:spacing w:after="60" w:before="0" w:line="240"/>
              <w:jc w:val="center"/>
            </w:pPr>
            <w:r>
              <w:rPr>
                <w:rFonts w:ascii="Aptos" w:cs="Aptos" w:eastAsia="Aptos" w:hAnsi="Aptos"/>
                <w:color w:val="6B7A87"/>
                <w:sz w:val="15"/>
                <w:szCs w:val="15"/>
              </w:rPr>
              <w:t xml:space="preserve">266 days (~9 months)</w:t>
            </w:r>
          </w:p>
        </w:tc>
      </w:tr>
      <w:tr>
        <w:tc>
          <w:tcPr>
            <w:tcW w:type="dxa" w:w="8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WS2</w:t>
            </w:r>
          </w:p>
        </w:tc>
        <w:tc>
          <w:tcPr>
            <w:tcW w:type="dxa" w:w="3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Licence portfolio clean-up (mineral trading companies)</w:t>
            </w:r>
          </w:p>
        </w:tc>
        <w:tc>
          <w:tcPr>
            <w:tcW w:type="dxa" w:w="4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Turns licence clean-up into a continuous, evidence-based routine, starting with mineral trading companies only, with objective criteria and due process.</w:t>
            </w:r>
          </w:p>
        </w:tc>
        <w:tc>
          <w:tcPr>
            <w:tcW w:type="dxa" w:w="2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0" w:before="60" w:line="240"/>
              <w:jc w:val="center"/>
            </w:pPr>
            <w:r>
              <w:rPr>
                <w:rFonts w:ascii="Aptos" w:cs="Aptos" w:eastAsia="Aptos" w:hAnsi="Aptos"/>
                <w:b/>
                <w:bCs/>
                <w:color w:val="0B2A3D"/>
                <w:sz w:val="16"/>
                <w:szCs w:val="16"/>
              </w:rPr>
              <w:t xml:space="preserve">22 Sep 2026 to 31 May 2027</w:t>
            </w:r>
          </w:p>
          <w:p>
            <w:pPr>
              <w:spacing w:after="60" w:before="0" w:line="240"/>
              <w:jc w:val="center"/>
            </w:pPr>
            <w:r>
              <w:rPr>
                <w:rFonts w:ascii="Aptos" w:cs="Aptos" w:eastAsia="Aptos" w:hAnsi="Aptos"/>
                <w:color w:val="6B7A87"/>
                <w:sz w:val="15"/>
                <w:szCs w:val="15"/>
              </w:rPr>
              <w:t xml:space="preserve">252 days (~8 months)</w:t>
            </w:r>
          </w:p>
        </w:tc>
      </w:tr>
      <w:tr>
        <w:tc>
          <w:tcPr>
            <w:tcW w:type="dxa" w:w="8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WS3</w:t>
            </w:r>
          </w:p>
        </w:tc>
        <w:tc>
          <w:tcPr>
            <w:tcW w:type="dxa" w:w="3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Sector de-risking and financing framework</w:t>
            </w:r>
          </w:p>
        </w:tc>
        <w:tc>
          <w:tcPr>
            <w:tcW w:type="dxa" w:w="4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Maps, explains and models the sector's risks, prices them in a shareable model, and engages financial institutions around it.</w:t>
            </w:r>
          </w:p>
        </w:tc>
        <w:tc>
          <w:tcPr>
            <w:tcW w:type="dxa" w:w="2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0" w:before="60" w:line="240"/>
              <w:jc w:val="center"/>
            </w:pPr>
            <w:r>
              <w:rPr>
                <w:rFonts w:ascii="Aptos" w:cs="Aptos" w:eastAsia="Aptos" w:hAnsi="Aptos"/>
                <w:b/>
                <w:bCs/>
                <w:color w:val="0B2A3D"/>
                <w:sz w:val="16"/>
                <w:szCs w:val="16"/>
              </w:rPr>
              <w:t xml:space="preserve">01 Oct 2026 to 31 May 2027</w:t>
            </w:r>
          </w:p>
          <w:p>
            <w:pPr>
              <w:spacing w:after="60" w:before="0" w:line="240"/>
              <w:jc w:val="center"/>
            </w:pPr>
            <w:r>
              <w:rPr>
                <w:rFonts w:ascii="Aptos" w:cs="Aptos" w:eastAsia="Aptos" w:hAnsi="Aptos"/>
                <w:color w:val="6B7A87"/>
                <w:sz w:val="15"/>
                <w:szCs w:val="15"/>
              </w:rPr>
              <w:t xml:space="preserve">243 days (~8 months)</w:t>
            </w:r>
          </w:p>
        </w:tc>
      </w:tr>
      <w:tr>
        <w:tc>
          <w:tcPr>
            <w:tcW w:type="dxa" w:w="8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WS4</w:t>
            </w:r>
          </w:p>
        </w:tc>
        <w:tc>
          <w:tcPr>
            <w:tcW w:type="dxa" w:w="3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Prices predictability for processing-plant investors</w:t>
            </w:r>
          </w:p>
        </w:tc>
        <w:tc>
          <w:tcPr>
            <w:tcW w:type="dxa" w:w="4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Maps and monitors prices and costs across the value chain, separates controllable from non-controllable components, and designs the instruments that act on each.</w:t>
            </w:r>
          </w:p>
        </w:tc>
        <w:tc>
          <w:tcPr>
            <w:tcW w:type="dxa" w:w="2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0" w:before="60" w:line="240"/>
              <w:jc w:val="center"/>
            </w:pPr>
            <w:r>
              <w:rPr>
                <w:rFonts w:ascii="Aptos" w:cs="Aptos" w:eastAsia="Aptos" w:hAnsi="Aptos"/>
                <w:b/>
                <w:bCs/>
                <w:color w:val="0B2A3D"/>
                <w:sz w:val="16"/>
                <w:szCs w:val="16"/>
              </w:rPr>
              <w:t xml:space="preserve">01 Nov 2026 to 31 May 2027</w:t>
            </w:r>
          </w:p>
          <w:p>
            <w:pPr>
              <w:spacing w:after="60" w:before="0" w:line="240"/>
              <w:jc w:val="center"/>
            </w:pPr>
            <w:r>
              <w:rPr>
                <w:rFonts w:ascii="Aptos" w:cs="Aptos" w:eastAsia="Aptos" w:hAnsi="Aptos"/>
                <w:color w:val="6B7A87"/>
                <w:sz w:val="15"/>
                <w:szCs w:val="15"/>
              </w:rPr>
              <w:t xml:space="preserve">212 days (~7 months)</w:t>
            </w:r>
          </w:p>
        </w:tc>
      </w:tr>
      <w:tr>
        <w:tc>
          <w:tcPr>
            <w:tcW w:type="dxa" w:w="8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WS5</w:t>
            </w:r>
          </w:p>
        </w:tc>
        <w:tc>
          <w:tcPr>
            <w:tcW w:type="dxa" w:w="3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Programme mobilisation and governance</w:t>
            </w:r>
          </w:p>
        </w:tc>
        <w:tc>
          <w:tcPr>
            <w:tcW w:type="dxa" w:w="4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Sets the programme up and keeps it on schedule: validation, delivery team, dashboard, and the December Board pack.</w:t>
            </w:r>
          </w:p>
        </w:tc>
        <w:tc>
          <w:tcPr>
            <w:tcW w:type="dxa" w:w="2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0" w:before="60" w:line="240"/>
              <w:jc w:val="center"/>
            </w:pPr>
            <w:r>
              <w:rPr>
                <w:rFonts w:ascii="Aptos" w:cs="Aptos" w:eastAsia="Aptos" w:hAnsi="Aptos"/>
                <w:b/>
                <w:bCs/>
                <w:color w:val="0B2A3D"/>
                <w:sz w:val="16"/>
                <w:szCs w:val="16"/>
              </w:rPr>
              <w:t xml:space="preserve">05 Sep 2026 to 30 Nov 2026</w:t>
            </w:r>
          </w:p>
          <w:p>
            <w:pPr>
              <w:spacing w:after="60" w:before="0" w:line="240"/>
              <w:jc w:val="center"/>
            </w:pPr>
            <w:r>
              <w:rPr>
                <w:rFonts w:ascii="Aptos" w:cs="Aptos" w:eastAsia="Aptos" w:hAnsi="Aptos"/>
                <w:color w:val="6B7A87"/>
                <w:sz w:val="15"/>
                <w:szCs w:val="15"/>
              </w:rPr>
              <w:t xml:space="preserve">87 days (~3 months)</w:t>
            </w:r>
          </w:p>
        </w:tc>
      </w:tr>
      <w:tr>
        <w:tc>
          <w:tcPr>
            <w:tcW w:type="dxa" w:w="8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WS6</w:t>
            </w:r>
          </w:p>
        </w:tc>
        <w:tc>
          <w:tcPr>
            <w:tcW w:type="dxa" w:w="32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8"/>
                <w:szCs w:val="18"/>
              </w:rPr>
              <w:t xml:space="preserve">Decision-making ecosystem, automation and AI (cross-cutting)</w:t>
            </w:r>
          </w:p>
        </w:tc>
        <w:tc>
          <w:tcPr>
            <w:tcW w:type="dxa" w:w="4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Optimises the flow from data to decision, delivers the portable AI prompt library, the automation roadmap and the data governance policy.</w:t>
            </w:r>
          </w:p>
        </w:tc>
        <w:tc>
          <w:tcPr>
            <w:tcW w:type="dxa" w:w="2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10" w:before="60" w:line="240"/>
              <w:jc w:val="center"/>
            </w:pPr>
            <w:r>
              <w:rPr>
                <w:rFonts w:ascii="Aptos" w:cs="Aptos" w:eastAsia="Aptos" w:hAnsi="Aptos"/>
                <w:b/>
                <w:bCs/>
                <w:color w:val="0B2A3D"/>
                <w:sz w:val="16"/>
                <w:szCs w:val="16"/>
              </w:rPr>
              <w:t xml:space="preserve">15 Sep 2026 to 31 May 2027</w:t>
            </w:r>
          </w:p>
          <w:p>
            <w:pPr>
              <w:spacing w:after="60" w:before="0" w:line="240"/>
              <w:jc w:val="center"/>
            </w:pPr>
            <w:r>
              <w:rPr>
                <w:rFonts w:ascii="Aptos" w:cs="Aptos" w:eastAsia="Aptos" w:hAnsi="Aptos"/>
                <w:color w:val="6B7A87"/>
                <w:sz w:val="15"/>
                <w:szCs w:val="15"/>
              </w:rPr>
              <w:t xml:space="preserve">259 days (~9 months)</w:t>
            </w:r>
          </w:p>
        </w:tc>
      </w:tr>
    </w:tbl>
    <w:p>
      <w:pPr>
        <w:spacing w:after="14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6B7A87" w:sz="24"/>
              <w:bottom w:val="none" w:color="FFFFFF" w:sz="0"/>
              <w:right w:val="none" w:color="FFFFFF" w:sz="0"/>
            </w:tcBorders>
            <w:shd w:fill="F7F9FB" w:color="auto" w:val="clear"/>
            <w:tcMar>
              <w:top w:type="dxa" w:w="120"/>
              <w:left w:type="dxa" w:w="80"/>
              <w:bottom w:type="dxa" w:w="120"/>
              <w:right w:type="dxa" w:w="80"/>
            </w:tcMar>
            <w:vAlign w:val="center"/>
          </w:tcPr>
          <w:p>
            <w:pPr>
              <w:spacing w:after="80" w:before="0" w:line="240"/>
              <w:jc w:val="both"/>
            </w:pPr>
            <w:r>
              <w:rPr>
                <w:rFonts w:ascii="Aptos" w:cs="Aptos" w:eastAsia="Aptos" w:hAnsi="Aptos"/>
                <w:b/>
                <w:bCs/>
                <w:color w:val="1A1A1A"/>
                <w:sz w:val="19"/>
                <w:szCs w:val="19"/>
              </w:rPr>
              <w:t xml:space="preserve">Reading the responsibilities</w:t>
            </w:r>
          </w:p>
          <w:p>
            <w:pPr>
              <w:spacing w:after="0" w:before="0" w:line="240"/>
              <w:jc w:val="both"/>
            </w:pPr>
            <w:r>
              <w:rPr>
                <w:rFonts w:ascii="Aptos" w:cs="Aptos" w:eastAsia="Aptos" w:hAnsi="Aptos"/>
                <w:color w:val="1A1A1A"/>
                <w:sz w:val="19"/>
                <w:szCs w:val="19"/>
              </w:rPr>
              <w:t xml:space="preserve">A responsibility marked (P) is a proposal made in this document, not a decision already taken. All such proposals require confirmation by Senior Management before this plan is submitted to the Board.</w:t>
            </w:r>
          </w:p>
        </w:tc>
      </w:tr>
    </w:tbl>
    <w:p>
      <w:pPr>
        <w:spacing w:after="16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3. What the Board sees at its December 2026 meeting</w:t>
      </w:r>
    </w:p>
    <w:p>
      <w:pPr>
        <w:spacing w:after="120" w:before="0" w:line="240"/>
        <w:jc w:val="both"/>
      </w:pPr>
      <w:r>
        <w:rPr>
          <w:rFonts w:ascii="Aptos" w:cs="Aptos" w:eastAsia="Aptos" w:hAnsi="Aptos"/>
          <w:color w:val="1A1A1A"/>
          <w:sz w:val="20"/>
          <w:szCs w:val="20"/>
        </w:rPr>
        <w:t xml:space="preserve">The Board asked for tangible results, not a progress narrative. Five deliverables are ready before the meeting of early December 2026. Each is designed to require no budget: they are demonstrations, built quickly, on tools and data RMB or the market intelligence function already has.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700"/>
        <w:gridCol w:w="5806"/>
        <w:gridCol w:w="1700"/>
      </w:tblGrid>
      <w:tr>
        <w:trPr>
          <w:tblHeader/>
        </w:trPr>
        <w:tc>
          <w:tcPr>
            <w:tcW w:type="dxa" w:w="27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Deliverable</w:t>
            </w:r>
          </w:p>
        </w:tc>
        <w:tc>
          <w:tcPr>
            <w:tcW w:type="dxa" w:w="58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What it is</w:t>
            </w:r>
          </w:p>
        </w:tc>
        <w:tc>
          <w:tcPr>
            <w:tcW w:type="dxa" w:w="17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Ready by</w:t>
            </w:r>
          </w:p>
        </w:tc>
      </w:tr>
      <w:tr>
        <w:tc>
          <w:tcPr>
            <w:tcW w:type="dxa" w:w="2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8"/>
                <w:szCs w:val="18"/>
              </w:rPr>
              <w:t xml:space="preserve">Demonstration reporting and analysis platform</w:t>
            </w:r>
          </w:p>
          <w:p>
            <w:pPr>
              <w:spacing w:after="60" w:before="0" w:line="240"/>
              <w:jc w:val="left"/>
            </w:pPr>
            <w:r>
              <w:rPr>
                <w:rFonts w:ascii="Aptos" w:cs="Aptos" w:eastAsia="Aptos" w:hAnsi="Aptos"/>
                <w:i/>
                <w:iCs/>
                <w:color w:val="6B7A87"/>
                <w:sz w:val="15"/>
                <w:szCs w:val="15"/>
              </w:rPr>
              <w:t xml:space="preserve">A1.2</w:t>
            </w:r>
          </w:p>
        </w:tc>
        <w:tc>
          <w:tcPr>
            <w:tcW w:type="dxa" w:w="58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A working tool where a company uploads its financial data, as Excel or CSV templates or as PDF and text files, and receives automated checks, analysis and feedback within minutes. Built in Streamlit, holding no data once the session ends, and reusing the algorithms already written for the financial file formats Rwandan companies actually use.</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31 Oct 2026 (D+60)</w:t>
            </w:r>
          </w:p>
        </w:tc>
      </w:tr>
      <w:tr>
        <w:tc>
          <w:tcPr>
            <w:tcW w:type="dxa" w:w="2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8"/>
                <w:szCs w:val="18"/>
              </w:rPr>
              <w:t xml:space="preserve">Portable AI prompt and skill library</w:t>
            </w:r>
          </w:p>
          <w:p>
            <w:pPr>
              <w:spacing w:after="60" w:before="0" w:line="240"/>
              <w:jc w:val="left"/>
            </w:pPr>
            <w:r>
              <w:rPr>
                <w:rFonts w:ascii="Aptos" w:cs="Aptos" w:eastAsia="Aptos" w:hAnsi="Aptos"/>
                <w:i/>
                <w:iCs/>
                <w:color w:val="6B7A87"/>
                <w:sz w:val="15"/>
                <w:szCs w:val="15"/>
              </w:rPr>
              <w:t xml:space="preserve">A6.1</w:t>
            </w:r>
          </w:p>
        </w:tc>
        <w:tc>
          <w:tcPr>
            <w:tcW w:type="dxa" w:w="58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Downloadable prompt and skill files that let any company, using any AI assistant, convert a report that is not already in spreadsheet form into a clean Excel or CSV file the platform can read. This is what makes the demonstration usable by companies whose records are not digital today.</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31 Oct 2026 (D+60)</w:t>
            </w:r>
          </w:p>
        </w:tc>
      </w:tr>
      <w:tr>
        <w:tc>
          <w:tcPr>
            <w:tcW w:type="dxa" w:w="2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8"/>
                <w:szCs w:val="18"/>
              </w:rPr>
              <w:t xml:space="preserve">Options paper on access to company information</w:t>
            </w:r>
          </w:p>
          <w:p>
            <w:pPr>
              <w:spacing w:after="60" w:before="0" w:line="240"/>
              <w:jc w:val="left"/>
            </w:pPr>
            <w:r>
              <w:rPr>
                <w:rFonts w:ascii="Aptos" w:cs="Aptos" w:eastAsia="Aptos" w:hAnsi="Aptos"/>
                <w:i/>
                <w:iCs/>
                <w:color w:val="6B7A87"/>
                <w:sz w:val="15"/>
                <w:szCs w:val="15"/>
              </w:rPr>
              <w:t xml:space="preserve">A1.3</w:t>
            </w:r>
          </w:p>
        </w:tc>
        <w:tc>
          <w:tcPr>
            <w:tcW w:type="dxa" w:w="58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Shareholding, regulatory reporting and a hybrid compared against explicit criteria, with a recommendation and the reasoning exposed, so the Board can arbitrate the Chair's proposal on evidence rather than on preference.</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15 Nov 2026 (D+75)</w:t>
            </w:r>
          </w:p>
        </w:tc>
      </w:tr>
      <w:tr>
        <w:tc>
          <w:tcPr>
            <w:tcW w:type="dxa" w:w="2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8"/>
                <w:szCs w:val="18"/>
              </w:rPr>
              <w:t xml:space="preserve">Risk map and risk-pricing model</w:t>
            </w:r>
          </w:p>
          <w:p>
            <w:pPr>
              <w:spacing w:after="60" w:before="0" w:line="240"/>
              <w:jc w:val="left"/>
            </w:pPr>
            <w:r>
              <w:rPr>
                <w:rFonts w:ascii="Aptos" w:cs="Aptos" w:eastAsia="Aptos" w:hAnsi="Aptos"/>
                <w:i/>
                <w:iCs/>
                <w:color w:val="6B7A87"/>
                <w:sz w:val="15"/>
                <w:szCs w:val="15"/>
              </w:rPr>
              <w:t xml:space="preserve">A3.1, A3.2</w:t>
            </w:r>
          </w:p>
        </w:tc>
        <w:tc>
          <w:tcPr>
            <w:tcW w:type="dxa" w:w="58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The sector's risks mapped, explained and modelled, covering financial risks and non-financial risks that carry a financial impact, with a demonstration model that prices them. Built to be run live with banks, insurers and BNR as the basis of a conversation about financing the sector rather than avoiding it.</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30 Nov 2026 (D+90)</w:t>
            </w:r>
          </w:p>
        </w:tc>
      </w:tr>
      <w:tr>
        <w:tc>
          <w:tcPr>
            <w:tcW w:type="dxa" w:w="2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60" w:line="240"/>
              <w:jc w:val="left"/>
            </w:pPr>
            <w:r>
              <w:rPr>
                <w:rFonts w:ascii="Aptos" w:cs="Aptos" w:eastAsia="Aptos" w:hAnsi="Aptos"/>
                <w:b/>
                <w:bCs/>
                <w:color w:val="0B2A3D"/>
                <w:sz w:val="18"/>
                <w:szCs w:val="18"/>
              </w:rPr>
              <w:t xml:space="preserve">Mapping of mineral trading companies</w:t>
            </w:r>
          </w:p>
          <w:p>
            <w:pPr>
              <w:spacing w:after="60" w:before="0" w:line="240"/>
              <w:jc w:val="left"/>
            </w:pPr>
            <w:r>
              <w:rPr>
                <w:rFonts w:ascii="Aptos" w:cs="Aptos" w:eastAsia="Aptos" w:hAnsi="Aptos"/>
                <w:i/>
                <w:iCs/>
                <w:color w:val="6B7A87"/>
                <w:sz w:val="15"/>
                <w:szCs w:val="15"/>
              </w:rPr>
              <w:t xml:space="preserve">A2.2</w:t>
            </w:r>
          </w:p>
        </w:tc>
        <w:tc>
          <w:tcPr>
            <w:tcW w:type="dxa" w:w="58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8"/>
                <w:szCs w:val="18"/>
              </w:rPr>
              <w:t xml:space="preserve">Every licensed mineral trading company classified by activity level, by cash-flow movement (cash in against cash out) and by compliance with mandatory reporting, so that dormant and near-dormant holders are identified and reminded of their obligations before any revocation is considered.</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8"/>
                <w:szCs w:val="18"/>
              </w:rPr>
              <w:t xml:space="preserve">30 Nov 2026 (D+90)</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FAD201" w:sz="24"/>
              <w:bottom w:val="none" w:color="FFFFFF" w:sz="0"/>
              <w:right w:val="none" w:color="FFFFFF" w:sz="0"/>
            </w:tcBorders>
            <w:shd w:fill="EEF3F7" w:color="auto" w:val="clear"/>
            <w:tcMar>
              <w:top w:type="dxa" w:w="120"/>
              <w:left w:type="dxa" w:w="80"/>
              <w:bottom w:type="dxa" w:w="120"/>
              <w:right w:type="dxa" w:w="80"/>
            </w:tcMar>
            <w:vAlign w:val="center"/>
          </w:tcPr>
          <w:p>
            <w:pPr>
              <w:spacing w:after="80" w:before="0" w:line="240"/>
              <w:jc w:val="both"/>
            </w:pPr>
            <w:r>
              <w:rPr>
                <w:rFonts w:ascii="Aptos" w:cs="Aptos" w:eastAsia="Aptos" w:hAnsi="Aptos"/>
                <w:b/>
                <w:bCs/>
                <w:color w:val="1A1A1A"/>
                <w:sz w:val="19"/>
                <w:szCs w:val="19"/>
              </w:rPr>
              <w:t xml:space="preserve">What a demonstration is, and what it is not</w:t>
            </w:r>
          </w:p>
          <w:p>
            <w:pPr>
              <w:spacing w:after="0" w:before="0" w:line="240"/>
              <w:jc w:val="both"/>
            </w:pPr>
            <w:r>
              <w:rPr>
                <w:rFonts w:ascii="Aptos" w:cs="Aptos" w:eastAsia="Aptos" w:hAnsi="Aptos"/>
                <w:color w:val="1A1A1A"/>
                <w:sz w:val="19"/>
                <w:szCs w:val="19"/>
              </w:rPr>
              <w:t xml:space="preserve">These tools prove that the approach works and that the data can be collected and analysed. They are not production systems: they hold no data after a session ends, they carry no hosting commitment, and they cannot yet serve every licensee at once. Activity A1.7 puts that next decision, with its cost, in front of the Board in the same session, so the Board decides on a permanent system having seen the temporary one work.</w:t>
            </w:r>
          </w:p>
        </w:tc>
      </w:tr>
    </w:tbl>
    <w:p>
      <w:pPr>
        <w:sectPr>
          <w:footerReference w:type="default" r:id="rId7"/>
          <w:pgSz w:w="11906" w:h="16838" w:orient="portrait"/>
          <w:pgMar w:top="850" w:right="850" w:bottom="850" w:left="850" w:header="454" w:footer="454" w:gutter="0"/>
          <w:pgNumType/>
          <w:docGrid w:linePitch="360"/>
        </w:sectPr>
      </w:pPr>
    </w:p>
    <w:p>
      <w:pPr>
        <w:pStyle w:val="Heading1"/>
        <w:pBdr>
          <w:bottom w:val="single" w:color="00A1DE" w:sz="12" w:space="4"/>
        </w:pBdr>
        <w:spacing w:after="140" w:before="320"/>
      </w:pPr>
      <w:r>
        <w:rPr>
          <w:rFonts w:ascii="Georgia" w:cs="Georgia" w:eastAsia="Georgia" w:hAnsi="Georgia"/>
          <w:b/>
          <w:bCs/>
          <w:color w:val="0B2A3D"/>
          <w:sz w:val="28"/>
          <w:szCs w:val="28"/>
        </w:rPr>
        <w:t xml:space="preserve">4. Action plan</w:t>
      </w:r>
    </w:p>
    <w:p>
      <w:pPr>
        <w:spacing w:after="120" w:before="0" w:line="240"/>
        <w:jc w:val="both"/>
      </w:pPr>
      <w:r>
        <w:rPr>
          <w:rFonts w:ascii="Aptos" w:cs="Aptos" w:eastAsia="Aptos" w:hAnsi="Aptos"/>
          <w:color w:val="1A1A1A"/>
          <w:sz w:val="20"/>
          <w:szCs w:val="20"/>
        </w:rPr>
        <w:t xml:space="preserve">Thirty-six activities across six workstreams. Every activity carries its sub-activities, its deliverable, a lead, the supporting parties, a start date, a due date, its duration and its dependencies. Sub-activities within one activity may run in parallel unless a dependency says otherwise. A fuller explanation of each activity is published on the online version of this plan.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700"/>
        <w:gridCol w:w="5300"/>
        <w:gridCol w:w="1650"/>
        <w:gridCol w:w="1400"/>
        <w:gridCol w:w="1400"/>
        <w:gridCol w:w="950"/>
        <w:gridCol w:w="1250"/>
        <w:gridCol w:w="1050"/>
        <w:gridCol w:w="1438"/>
      </w:tblGrid>
      <w:tr>
        <w:trPr>
          <w:tblHeader/>
        </w:trPr>
        <w:tc>
          <w:tcPr>
            <w:tcW w:type="dxa" w:w="7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Ref.</w:t>
            </w:r>
          </w:p>
        </w:tc>
        <w:tc>
          <w:tcPr>
            <w:tcW w:type="dxa" w:w="53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Activity and sub-activities</w:t>
            </w:r>
          </w:p>
        </w:tc>
        <w:tc>
          <w:tcPr>
            <w:tcW w:type="dxa" w:w="165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Deliverable</w:t>
            </w:r>
          </w:p>
        </w:tc>
        <w:tc>
          <w:tcPr>
            <w:tcW w:type="dxa" w:w="1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Lead</w:t>
            </w:r>
          </w:p>
        </w:tc>
        <w:tc>
          <w:tcPr>
            <w:tcW w:type="dxa" w:w="1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Support</w:t>
            </w:r>
          </w:p>
        </w:tc>
        <w:tc>
          <w:tcPr>
            <w:tcW w:type="dxa" w:w="95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Start date</w:t>
            </w:r>
          </w:p>
        </w:tc>
        <w:tc>
          <w:tcPr>
            <w:tcW w:type="dxa" w:w="125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Due date</w:t>
            </w:r>
          </w:p>
        </w:tc>
        <w:tc>
          <w:tcPr>
            <w:tcW w:type="dxa" w:w="105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Duration</w:t>
            </w:r>
          </w:p>
        </w:tc>
        <w:tc>
          <w:tcPr>
            <w:tcW w:type="dxa" w:w="1438"/>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Depends on</w:t>
            </w:r>
          </w:p>
        </w:tc>
      </w:tr>
      <w:tr>
        <w:tc>
          <w:tcPr>
            <w:tcW w:type="dxa" w:w="15138"/>
            <w:gridSpan w:val="9"/>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9"/>
                <w:szCs w:val="19"/>
              </w:rPr>
              <w:t xml:space="preserve">WS1, Company oversight through enforced reporting  (08 Sep 2026 to 31 May 2027)</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A1.1</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Legal stocktake of existing reporting obligations</w:t>
            </w:r>
          </w:p>
          <w:p>
            <w:pPr>
              <w:spacing w:after="20" w:before="0" w:line="200"/>
              <w:ind w:left="90"/>
              <w:jc w:val="both"/>
            </w:pPr>
            <w:r>
              <w:rPr>
                <w:rFonts w:ascii="Aptos" w:cs="Aptos" w:eastAsia="Aptos" w:hAnsi="Aptos"/>
                <w:color w:val="1A1A1A"/>
                <w:sz w:val="15"/>
                <w:szCs w:val="15"/>
              </w:rPr>
              <w:t xml:space="preserve">▪  Inventory every reporting obligation in force across the mining laws, ministerial orders, regulations and licence conditions</w:t>
            </w:r>
          </w:p>
          <w:p>
            <w:pPr>
              <w:spacing w:after="20" w:before="0" w:line="200"/>
              <w:ind w:left="90"/>
              <w:jc w:val="both"/>
            </w:pPr>
            <w:r>
              <w:rPr>
                <w:rFonts w:ascii="Aptos" w:cs="Aptos" w:eastAsia="Aptos" w:hAnsi="Aptos"/>
                <w:color w:val="1A1A1A"/>
                <w:sz w:val="15"/>
                <w:szCs w:val="15"/>
              </w:rPr>
              <w:t xml:space="preserve">▪  Record for each: who reports, what, how often, to whom, and with what consequence</w:t>
            </w:r>
          </w:p>
          <w:p>
            <w:pPr>
              <w:spacing w:after="60" w:before="0" w:line="200"/>
              <w:ind w:left="90"/>
              <w:jc w:val="both"/>
            </w:pPr>
            <w:r>
              <w:rPr>
                <w:rFonts w:ascii="Aptos" w:cs="Aptos" w:eastAsia="Aptos" w:hAnsi="Aptos"/>
                <w:color w:val="1A1A1A"/>
                <w:sz w:val="15"/>
                <w:szCs w:val="15"/>
              </w:rPr>
              <w:t xml:space="preserve">▪  Separate obligations that exist in law but are not enforced from genuine gaps needing a new instrument</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Obligations register and gap note</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Legal (P), cadastre and digital information division</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22 Sep 2026 (D+21)</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 (D+60)</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40 days (~1 month)</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A1.2</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Demonstration reporting and analysis platform</w:t>
            </w:r>
          </w:p>
          <w:p>
            <w:pPr>
              <w:spacing w:after="20" w:before="0" w:line="200"/>
              <w:ind w:left="90"/>
              <w:jc w:val="both"/>
            </w:pPr>
            <w:r>
              <w:rPr>
                <w:rFonts w:ascii="Aptos" w:cs="Aptos" w:eastAsia="Aptos" w:hAnsi="Aptos"/>
                <w:color w:val="1A1A1A"/>
                <w:sz w:val="15"/>
                <w:szCs w:val="15"/>
              </w:rPr>
              <w:t xml:space="preserve">▪  Build in Streamlit: no data retained once the session ends, no hosting commitment, no budget required</w:t>
            </w:r>
          </w:p>
          <w:p>
            <w:pPr>
              <w:spacing w:after="20" w:before="0" w:line="200"/>
              <w:ind w:left="90"/>
              <w:jc w:val="both"/>
            </w:pPr>
            <w:r>
              <w:rPr>
                <w:rFonts w:ascii="Aptos" w:cs="Aptos" w:eastAsia="Aptos" w:hAnsi="Aptos"/>
                <w:color w:val="1A1A1A"/>
                <w:sz w:val="15"/>
                <w:szCs w:val="15"/>
              </w:rPr>
              <w:t xml:space="preserve">▪  Accept Excel and CSV templates, and PDF or text files, reusing the algorithms already written for the financial file formats used by Rwandan companies</w:t>
            </w:r>
          </w:p>
          <w:p>
            <w:pPr>
              <w:spacing w:after="20" w:before="0" w:line="200"/>
              <w:ind w:left="90"/>
              <w:jc w:val="both"/>
            </w:pPr>
            <w:r>
              <w:rPr>
                <w:rFonts w:ascii="Aptos" w:cs="Aptos" w:eastAsia="Aptos" w:hAnsi="Aptos"/>
                <w:color w:val="1A1A1A"/>
                <w:sz w:val="15"/>
                <w:szCs w:val="15"/>
              </w:rPr>
              <w:t xml:space="preserve">▪  Return automated checks, analysis and written feedback to the company within minutes of upload</w:t>
            </w:r>
          </w:p>
          <w:p>
            <w:pPr>
              <w:spacing w:after="60" w:before="0" w:line="200"/>
              <w:ind w:left="90"/>
              <w:jc w:val="both"/>
            </w:pPr>
            <w:r>
              <w:rPr>
                <w:rFonts w:ascii="Aptos" w:cs="Aptos" w:eastAsia="Aptos" w:hAnsi="Aptos"/>
                <w:color w:val="1A1A1A"/>
                <w:sz w:val="15"/>
                <w:szCs w:val="15"/>
              </w:rPr>
              <w:t xml:space="preserve">▪  Run a demonstration with volunteer companies from each licensee category before the December Board meeting</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Working demonstration platform</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 cadastre and digital information division</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08 Sep 2026 (D+7)</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 (D+60)</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54 days (~2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A1.3</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Options paper on access to company information</w:t>
            </w:r>
          </w:p>
          <w:p>
            <w:pPr>
              <w:spacing w:after="20" w:before="0" w:line="200"/>
              <w:ind w:left="90"/>
              <w:jc w:val="both"/>
            </w:pPr>
            <w:r>
              <w:rPr>
                <w:rFonts w:ascii="Aptos" w:cs="Aptos" w:eastAsia="Aptos" w:hAnsi="Aptos"/>
                <w:color w:val="1A1A1A"/>
                <w:sz w:val="15"/>
                <w:szCs w:val="15"/>
              </w:rPr>
              <w:t xml:space="preserve">▪  Compare the three options on explicit criteria: legal basis, equal treatment of operators, cost to the State, conflict of interest where a regulator holds equity, speed, enforceability, and the quality of information actually obtained</w:t>
            </w:r>
          </w:p>
          <w:p>
            <w:pPr>
              <w:spacing w:after="20" w:before="0" w:line="200"/>
              <w:ind w:left="90"/>
              <w:jc w:val="both"/>
            </w:pPr>
            <w:r>
              <w:rPr>
                <w:rFonts w:ascii="Aptos" w:cs="Aptos" w:eastAsia="Aptos" w:hAnsi="Aptos"/>
                <w:color w:val="1A1A1A"/>
                <w:sz w:val="15"/>
                <w:szCs w:val="15"/>
              </w:rPr>
              <w:t xml:space="preserve">▪  Document the practical difficulty of defining a threshold for an important company, and its equal-treatment consequences</w:t>
            </w:r>
          </w:p>
          <w:p>
            <w:pPr>
              <w:spacing w:after="60" w:before="0" w:line="200"/>
              <w:ind w:left="90"/>
              <w:jc w:val="both"/>
            </w:pPr>
            <w:r>
              <w:rPr>
                <w:rFonts w:ascii="Aptos" w:cs="Aptos" w:eastAsia="Aptos" w:hAnsi="Aptos"/>
                <w:color w:val="1A1A1A"/>
                <w:sz w:val="15"/>
                <w:szCs w:val="15"/>
              </w:rPr>
              <w:t xml:space="preserve">▪  Recommend with the reasoning fully exposed, and present to Senior Management then to the Board committee</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Options paper and Board presentation</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Legal (P), CEO</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Oct 2026 (D+44)</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15 Nov 2026, Board in Dec 2026</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32 days (~1 month)</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A1.1</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A1.4</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Reporting framework by licensee category</w:t>
            </w:r>
          </w:p>
          <w:p>
            <w:pPr>
              <w:spacing w:after="20" w:before="0" w:line="200"/>
              <w:ind w:left="90"/>
              <w:jc w:val="both"/>
            </w:pPr>
            <w:r>
              <w:rPr>
                <w:rFonts w:ascii="Aptos" w:cs="Aptos" w:eastAsia="Aptos" w:hAnsi="Aptos"/>
                <w:color w:val="1A1A1A"/>
                <w:sz w:val="15"/>
                <w:szCs w:val="15"/>
              </w:rPr>
              <w:t xml:space="preserve">▪  Minimum data set for each category: exploration, mining and extraction, processing, trading, assay laboratories, transport and logistics</w:t>
            </w:r>
          </w:p>
          <w:p>
            <w:pPr>
              <w:spacing w:after="20" w:before="0" w:line="200"/>
              <w:ind w:left="90"/>
              <w:jc w:val="both"/>
            </w:pPr>
            <w:r>
              <w:rPr>
                <w:rFonts w:ascii="Aptos" w:cs="Aptos" w:eastAsia="Aptos" w:hAnsi="Aptos"/>
                <w:color w:val="1A1A1A"/>
                <w:sz w:val="15"/>
                <w:szCs w:val="15"/>
              </w:rPr>
              <w:t xml:space="preserve">▪  Frequency, deadline, format and file schema per category, informed by what the demonstration showed companies can actually produce</w:t>
            </w:r>
          </w:p>
          <w:p>
            <w:pPr>
              <w:spacing w:after="60" w:before="0" w:line="200"/>
              <w:ind w:left="90"/>
              <w:jc w:val="both"/>
            </w:pPr>
            <w:r>
              <w:rPr>
                <w:rFonts w:ascii="Aptos" w:cs="Aptos" w:eastAsia="Aptos" w:hAnsi="Aptos"/>
                <w:color w:val="1A1A1A"/>
                <w:sz w:val="15"/>
                <w:szCs w:val="15"/>
              </w:rPr>
              <w:t xml:space="preserve">▪  Confidentiality tiers, and graduated consequences for late or absent submission</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Reporting framework and templates</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All technical divisions, Legal (P)</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 (D+61)</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15 Dec 2026 (D+105)</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45 days (~1 month)</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A1.1, A1.2</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A1.5</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Automated validation and analysis layer</w:t>
            </w:r>
          </w:p>
          <w:p>
            <w:pPr>
              <w:spacing w:after="20" w:before="0" w:line="200"/>
              <w:ind w:left="90"/>
              <w:jc w:val="both"/>
            </w:pPr>
            <w:r>
              <w:rPr>
                <w:rFonts w:ascii="Aptos" w:cs="Aptos" w:eastAsia="Aptos" w:hAnsi="Aptos"/>
                <w:color w:val="1A1A1A"/>
                <w:sz w:val="15"/>
                <w:szCs w:val="15"/>
              </w:rPr>
              <w:t xml:space="preserve">▪  Completeness, consistency and arithmetic checks applied at upload, with immediate feedback to the sender</w:t>
            </w:r>
          </w:p>
          <w:p>
            <w:pPr>
              <w:spacing w:after="20" w:before="0" w:line="200"/>
              <w:ind w:left="90"/>
              <w:jc w:val="both"/>
            </w:pPr>
            <w:r>
              <w:rPr>
                <w:rFonts w:ascii="Aptos" w:cs="Aptos" w:eastAsia="Aptos" w:hAnsi="Aptos"/>
                <w:color w:val="1A1A1A"/>
                <w:sz w:val="15"/>
                <w:szCs w:val="15"/>
              </w:rPr>
              <w:t xml:space="preserve">▪  Anomaly detection: outlier grades, prices outside the reference band, tonnage imbalances, duplicated documents, patterns typical of a dormant holder</w:t>
            </w:r>
          </w:p>
          <w:p>
            <w:pPr>
              <w:spacing w:after="20" w:before="0" w:line="200"/>
              <w:ind w:left="90"/>
              <w:jc w:val="both"/>
            </w:pPr>
            <w:r>
              <w:rPr>
                <w:rFonts w:ascii="Aptos" w:cs="Aptos" w:eastAsia="Aptos" w:hAnsi="Aptos"/>
                <w:color w:val="1A1A1A"/>
                <w:sz w:val="15"/>
                <w:szCs w:val="15"/>
              </w:rPr>
              <w:t xml:space="preserve">▪  Cross-source reconciliation against assay reports, invoices and, where data-sharing allows, RRA and BNR records</w:t>
            </w:r>
          </w:p>
          <w:p>
            <w:pPr>
              <w:spacing w:after="60" w:before="0" w:line="200"/>
              <w:ind w:left="90"/>
              <w:jc w:val="both"/>
            </w:pPr>
            <w:r>
              <w:rPr>
                <w:rFonts w:ascii="Aptos" w:cs="Aptos" w:eastAsia="Aptos" w:hAnsi="Aptos"/>
                <w:color w:val="1A1A1A"/>
                <w:sz w:val="15"/>
                <w:szCs w:val="15"/>
              </w:rPr>
              <w:t xml:space="preserve">▪  Aggregated indicators feeding WS2, WS3 and WS4</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Validation and analysis layer, first release then full</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Oct 2026 (D+30)</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First release 30 Nov 2026, full 31 Mar 2027</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182 days (~6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A1.2</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A1.6</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Legal instrument making the reporting framework binding</w:t>
            </w:r>
          </w:p>
          <w:p>
            <w:pPr>
              <w:spacing w:after="20" w:before="0" w:line="200"/>
              <w:ind w:left="90"/>
              <w:jc w:val="both"/>
            </w:pPr>
            <w:r>
              <w:rPr>
                <w:rFonts w:ascii="Aptos" w:cs="Aptos" w:eastAsia="Aptos" w:hAnsi="Aptos"/>
                <w:color w:val="1A1A1A"/>
                <w:sz w:val="15"/>
                <w:szCs w:val="15"/>
              </w:rPr>
              <w:t xml:space="preserve">▪  Draft the regulation or directive, including revised frequencies where the current ones are insufficient</w:t>
            </w:r>
          </w:p>
          <w:p>
            <w:pPr>
              <w:spacing w:after="20" w:before="0" w:line="200"/>
              <w:ind w:left="90"/>
              <w:jc w:val="both"/>
            </w:pPr>
            <w:r>
              <w:rPr>
                <w:rFonts w:ascii="Aptos" w:cs="Aptos" w:eastAsia="Aptos" w:hAnsi="Aptos"/>
                <w:color w:val="1A1A1A"/>
                <w:sz w:val="15"/>
                <w:szCs w:val="15"/>
              </w:rPr>
              <w:t xml:space="preserve">▪  Align with the regulations already drafted on assay, grade, trading and pricing</w:t>
            </w:r>
          </w:p>
          <w:p>
            <w:pPr>
              <w:spacing w:after="60" w:before="0" w:line="200"/>
              <w:ind w:left="90"/>
              <w:jc w:val="both"/>
            </w:pPr>
            <w:r>
              <w:rPr>
                <w:rFonts w:ascii="Aptos" w:cs="Aptos" w:eastAsia="Aptos" w:hAnsi="Aptos"/>
                <w:color w:val="1A1A1A"/>
                <w:sz w:val="15"/>
                <w:szCs w:val="15"/>
              </w:rPr>
              <w:t xml:space="preserve">▪  Consult operators, then submit through the approval circuit</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Draft instrument submitted for approval</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Legal (P), with the 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CEO, Board committee</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16 Dec 2026 (D+106)</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Draft 31 Jan 2027, submitted 31 Mar 2027</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106 days (~3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A1.4</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A1.7</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Decision paper on a permanent reporting platform</w:t>
            </w:r>
          </w:p>
          <w:p>
            <w:pPr>
              <w:spacing w:after="20" w:before="0" w:line="200"/>
              <w:ind w:left="90"/>
              <w:jc w:val="both"/>
            </w:pPr>
            <w:r>
              <w:rPr>
                <w:rFonts w:ascii="Aptos" w:cs="Aptos" w:eastAsia="Aptos" w:hAnsi="Aptos"/>
                <w:color w:val="1A1A1A"/>
                <w:sz w:val="15"/>
                <w:szCs w:val="15"/>
              </w:rPr>
              <w:t xml:space="preserve">▪  Present what the demonstration proved and what it could not, with measured usage from the pilot</w:t>
            </w:r>
          </w:p>
          <w:p>
            <w:pPr>
              <w:spacing w:after="20" w:before="0" w:line="200"/>
              <w:ind w:left="90"/>
              <w:jc w:val="both"/>
            </w:pPr>
            <w:r>
              <w:rPr>
                <w:rFonts w:ascii="Aptos" w:cs="Aptos" w:eastAsia="Aptos" w:hAnsi="Aptos"/>
                <w:color w:val="1A1A1A"/>
                <w:sz w:val="15"/>
                <w:szCs w:val="15"/>
              </w:rPr>
              <w:t xml:space="preserve">▪  Set out hosting, data-protection and legal requirements for a permanent system, and the options for meeting them</w:t>
            </w:r>
          </w:p>
          <w:p>
            <w:pPr>
              <w:spacing w:after="20" w:before="0" w:line="200"/>
              <w:ind w:left="90"/>
              <w:jc w:val="both"/>
            </w:pPr>
            <w:r>
              <w:rPr>
                <w:rFonts w:ascii="Aptos" w:cs="Aptos" w:eastAsia="Aptos" w:hAnsi="Aptos"/>
                <w:color w:val="1A1A1A"/>
                <w:sz w:val="15"/>
                <w:szCs w:val="15"/>
              </w:rPr>
              <w:t xml:space="preserve">▪  Cost the options and identify the budget route, since no budget line exists today</w:t>
            </w:r>
          </w:p>
          <w:p>
            <w:pPr>
              <w:spacing w:after="60" w:before="0" w:line="200"/>
              <w:ind w:left="90"/>
              <w:jc w:val="both"/>
            </w:pPr>
            <w:r>
              <w:rPr>
                <w:rFonts w:ascii="Aptos" w:cs="Aptos" w:eastAsia="Aptos" w:hAnsi="Aptos"/>
                <w:color w:val="1A1A1A"/>
                <w:sz w:val="15"/>
                <w:szCs w:val="15"/>
              </w:rPr>
              <w:t xml:space="preserve">▪  Seek the Board's decision, and specify the retained option if approved</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Decision paper, specification if approved</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with the CEO</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 SPIU coordinator, Legal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Dec 2026 (D+91)</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Paper Dec 2026, specification 31 May 2027</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182 days (~6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A1.2, A1.5</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A1.8</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Capacity building for RMB officers and reporting entities</w:t>
            </w:r>
          </w:p>
          <w:p>
            <w:pPr>
              <w:spacing w:after="20" w:before="0" w:line="200"/>
              <w:ind w:left="90"/>
              <w:jc w:val="both"/>
            </w:pPr>
            <w:r>
              <w:rPr>
                <w:rFonts w:ascii="Aptos" w:cs="Aptos" w:eastAsia="Aptos" w:hAnsi="Aptos"/>
                <w:color w:val="1A1A1A"/>
                <w:sz w:val="15"/>
                <w:szCs w:val="15"/>
              </w:rPr>
              <w:t xml:space="preserve">▪  User guides and reporting instructions per category, including how to use the AI prompt library</w:t>
            </w:r>
          </w:p>
          <w:p>
            <w:pPr>
              <w:spacing w:after="20" w:before="0" w:line="200"/>
              <w:ind w:left="90"/>
              <w:jc w:val="both"/>
            </w:pPr>
            <w:r>
              <w:rPr>
                <w:rFonts w:ascii="Aptos" w:cs="Aptos" w:eastAsia="Aptos" w:hAnsi="Aptos"/>
                <w:color w:val="1A1A1A"/>
                <w:sz w:val="15"/>
                <w:szCs w:val="15"/>
              </w:rPr>
              <w:t xml:space="preserve">▪  Training sessions for operators, by category and by region</w:t>
            </w:r>
          </w:p>
          <w:p>
            <w:pPr>
              <w:spacing w:after="60" w:before="0" w:line="200"/>
              <w:ind w:left="90"/>
              <w:jc w:val="both"/>
            </w:pPr>
            <w:r>
              <w:rPr>
                <w:rFonts w:ascii="Aptos" w:cs="Aptos" w:eastAsia="Aptos" w:hAnsi="Aptos"/>
                <w:color w:val="1A1A1A"/>
                <w:sz w:val="15"/>
                <w:szCs w:val="15"/>
              </w:rPr>
              <w:t xml:space="preserve">▪  Internal training for RMB officers, and a helpdesk channel</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Guides published, training delivered, helpdesk live</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All divisions, communication</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 (D+125)</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 (D+272)</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148 days (~5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A1.4</w:t>
            </w:r>
          </w:p>
        </w:tc>
      </w:tr>
      <w:tr>
        <w:tc>
          <w:tcPr>
            <w:tcW w:type="dxa" w:w="15138"/>
            <w:gridSpan w:val="9"/>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9"/>
                <w:szCs w:val="19"/>
              </w:rPr>
              <w:t xml:space="preserve">WS2, Licence portfolio clean-up (mineral trading companies)  (22 Sep 2026 to 31 May 2027)</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A2.1</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Activity and dormancy criteria for mineral trading licences</w:t>
            </w:r>
          </w:p>
          <w:p>
            <w:pPr>
              <w:spacing w:after="20" w:before="0" w:line="200"/>
              <w:ind w:left="90"/>
              <w:jc w:val="both"/>
            </w:pPr>
            <w:r>
              <w:rPr>
                <w:rFonts w:ascii="Aptos" w:cs="Aptos" w:eastAsia="Aptos" w:hAnsi="Aptos"/>
                <w:color w:val="1A1A1A"/>
                <w:sz w:val="15"/>
                <w:szCs w:val="15"/>
              </w:rPr>
              <w:t xml:space="preserve">▪  Measurable thresholds for trading licences: export volume or value, reporting compliance, payment of fees, presence of genuine commercial activity</w:t>
            </w:r>
          </w:p>
          <w:p>
            <w:pPr>
              <w:spacing w:after="20" w:before="0" w:line="200"/>
              <w:ind w:left="90"/>
              <w:jc w:val="both"/>
            </w:pPr>
            <w:r>
              <w:rPr>
                <w:rFonts w:ascii="Aptos" w:cs="Aptos" w:eastAsia="Aptos" w:hAnsi="Aptos"/>
                <w:color w:val="1A1A1A"/>
                <w:sz w:val="15"/>
                <w:szCs w:val="15"/>
              </w:rPr>
              <w:t xml:space="preserve">▪  Legitimate exceptions such as force majeure or authorised suspension, and how they are evidenced</w:t>
            </w:r>
          </w:p>
          <w:p>
            <w:pPr>
              <w:spacing w:after="60" w:before="0" w:line="200"/>
              <w:ind w:left="90"/>
              <w:jc w:val="both"/>
            </w:pPr>
            <w:r>
              <w:rPr>
                <w:rFonts w:ascii="Aptos" w:cs="Aptos" w:eastAsia="Aptos" w:hAnsi="Aptos"/>
                <w:color w:val="1A1A1A"/>
                <w:sz w:val="15"/>
                <w:szCs w:val="15"/>
              </w:rPr>
              <w:t xml:space="preserve">▪  Submit the criteria grid for approval so that it is public and contestable</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Approved criteria grid for trading licences</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Cadastre and digital information division (P), with the 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Extraction and inspection division, Legal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22 Sep 2026 (D+21)</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 (D+60)</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40 days (~1 month)</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A2.2</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Mapping of mineral trading companies</w:t>
            </w:r>
          </w:p>
          <w:p>
            <w:pPr>
              <w:spacing w:after="20" w:before="0" w:line="200"/>
              <w:ind w:left="90"/>
              <w:jc w:val="both"/>
            </w:pPr>
            <w:r>
              <w:rPr>
                <w:rFonts w:ascii="Aptos" w:cs="Aptos" w:eastAsia="Aptos" w:hAnsi="Aptos"/>
                <w:color w:val="1A1A1A"/>
                <w:sz w:val="15"/>
                <w:szCs w:val="15"/>
              </w:rPr>
              <w:t xml:space="preserve">▪  Classify every licensed mineral trading company by activity level, from very active to inactive, against the A2.1 criteria</w:t>
            </w:r>
          </w:p>
          <w:p>
            <w:pPr>
              <w:spacing w:after="20" w:before="0" w:line="200"/>
              <w:ind w:left="90"/>
              <w:jc w:val="both"/>
            </w:pPr>
            <w:r>
              <w:rPr>
                <w:rFonts w:ascii="Aptos" w:cs="Aptos" w:eastAsia="Aptos" w:hAnsi="Aptos"/>
                <w:color w:val="1A1A1A"/>
                <w:sz w:val="15"/>
                <w:szCs w:val="15"/>
              </w:rPr>
              <w:t xml:space="preserve">▪  Classify by cash-flow movement, cash in against cash out, to distinguish a company that is quiet from one that is empty</w:t>
            </w:r>
          </w:p>
          <w:p>
            <w:pPr>
              <w:spacing w:after="20" w:before="0" w:line="200"/>
              <w:ind w:left="90"/>
              <w:jc w:val="both"/>
            </w:pPr>
            <w:r>
              <w:rPr>
                <w:rFonts w:ascii="Aptos" w:cs="Aptos" w:eastAsia="Aptos" w:hAnsi="Aptos"/>
                <w:color w:val="1A1A1A"/>
                <w:sz w:val="15"/>
                <w:szCs w:val="15"/>
              </w:rPr>
              <w:t xml:space="preserve">▪  Classify by compliance with mandatory reporting</w:t>
            </w:r>
          </w:p>
          <w:p>
            <w:pPr>
              <w:spacing w:after="60" w:before="0" w:line="200"/>
              <w:ind w:left="90"/>
              <w:jc w:val="both"/>
            </w:pPr>
            <w:r>
              <w:rPr>
                <w:rFonts w:ascii="Aptos" w:cs="Aptos" w:eastAsia="Aptos" w:hAnsi="Aptos"/>
                <w:color w:val="1A1A1A"/>
                <w:sz w:val="15"/>
                <w:szCs w:val="15"/>
              </w:rPr>
              <w:t xml:space="preserve">▪  Produce the list of holders to be reminded of their obligations</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Trading company mapping and reminder list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with the cadastre and digital information division</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Extraction and inspection division, head of IT team</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Oct 2026 (D+44)</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 (D+90)</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47 days (~2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A2.1</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A2.3</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Legal review of grounds and due process</w:t>
            </w:r>
          </w:p>
          <w:p>
            <w:pPr>
              <w:spacing w:after="20" w:before="0" w:line="200"/>
              <w:ind w:left="90"/>
              <w:jc w:val="both"/>
            </w:pPr>
            <w:r>
              <w:rPr>
                <w:rFonts w:ascii="Aptos" w:cs="Aptos" w:eastAsia="Aptos" w:hAnsi="Aptos"/>
                <w:color w:val="1A1A1A"/>
                <w:sz w:val="15"/>
                <w:szCs w:val="15"/>
              </w:rPr>
              <w:t xml:space="preserve">▪  Confirm the statutory grounds for warning, suspension and revocation, and the competent RMB organ that recommends to the CEO</w:t>
            </w:r>
          </w:p>
          <w:p>
            <w:pPr>
              <w:spacing w:after="20" w:before="0" w:line="200"/>
              <w:ind w:left="90"/>
              <w:jc w:val="both"/>
            </w:pPr>
            <w:r>
              <w:rPr>
                <w:rFonts w:ascii="Aptos" w:cs="Aptos" w:eastAsia="Aptos" w:hAnsi="Aptos"/>
                <w:color w:val="1A1A1A"/>
                <w:sz w:val="15"/>
                <w:szCs w:val="15"/>
              </w:rPr>
              <w:t xml:space="preserve">▪  Define the procedure, cure periods and rights of reply</w:t>
            </w:r>
          </w:p>
          <w:p>
            <w:pPr>
              <w:spacing w:after="60" w:before="0" w:line="200"/>
              <w:ind w:left="90"/>
              <w:jc w:val="both"/>
            </w:pPr>
            <w:r>
              <w:rPr>
                <w:rFonts w:ascii="Aptos" w:cs="Aptos" w:eastAsia="Aptos" w:hAnsi="Aptos"/>
                <w:color w:val="1A1A1A"/>
                <w:sz w:val="15"/>
                <w:szCs w:val="15"/>
              </w:rPr>
              <w:t xml:space="preserve">▪  Produce the standard notification letters</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Due-process note and standard letters</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Legal (P)</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Cadastre and digital information division</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 (D+61)</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15 Dec 2026 (D+105)</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45 days (~1 month)</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A2.1</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A2.4</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Warning cycle before any closure proposal</w:t>
            </w:r>
          </w:p>
          <w:p>
            <w:pPr>
              <w:spacing w:after="20" w:before="0" w:line="200"/>
              <w:ind w:left="90"/>
              <w:jc w:val="both"/>
            </w:pPr>
            <w:r>
              <w:rPr>
                <w:rFonts w:ascii="Aptos" w:cs="Aptos" w:eastAsia="Aptos" w:hAnsi="Aptos"/>
                <w:color w:val="1A1A1A"/>
                <w:sz w:val="15"/>
                <w:szCs w:val="15"/>
              </w:rPr>
              <w:t xml:space="preserve">▪  First notice reminding the holder of its obligations, with a defined cure period</w:t>
            </w:r>
          </w:p>
          <w:p>
            <w:pPr>
              <w:spacing w:after="20" w:before="0" w:line="200"/>
              <w:ind w:left="90"/>
              <w:jc w:val="both"/>
            </w:pPr>
            <w:r>
              <w:rPr>
                <w:rFonts w:ascii="Aptos" w:cs="Aptos" w:eastAsia="Aptos" w:hAnsi="Aptos"/>
                <w:color w:val="1A1A1A"/>
                <w:sz w:val="15"/>
                <w:szCs w:val="15"/>
              </w:rPr>
              <w:t xml:space="preserve">▪  Second and final notices where the situation is unchanged, the last stating the intended measure and the right of reply</w:t>
            </w:r>
          </w:p>
          <w:p>
            <w:pPr>
              <w:spacing w:after="60" w:before="0" w:line="200"/>
              <w:ind w:left="90"/>
              <w:jc w:val="both"/>
            </w:pPr>
            <w:r>
              <w:rPr>
                <w:rFonts w:ascii="Aptos" w:cs="Aptos" w:eastAsia="Aptos" w:hAnsi="Aptos"/>
                <w:color w:val="1A1A1A"/>
                <w:sz w:val="15"/>
                <w:szCs w:val="15"/>
              </w:rPr>
              <w:t xml:space="preserve">▪  Verify remediation and close the file where the holder complies</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Notice log and remediation record</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Cadastre and digital information division (P)</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Extraction and inspection division, Legal (P)</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 (D+125)</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Apr 2027 (D+241)</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117 days (~4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A2.2, A2.3</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A2.5</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Revocation dossiers recommended to the CEO</w:t>
            </w:r>
          </w:p>
          <w:p>
            <w:pPr>
              <w:spacing w:after="20" w:before="0" w:line="200"/>
              <w:ind w:left="90"/>
              <w:jc w:val="both"/>
            </w:pPr>
            <w:r>
              <w:rPr>
                <w:rFonts w:ascii="Aptos" w:cs="Aptos" w:eastAsia="Aptos" w:hAnsi="Aptos"/>
                <w:color w:val="1A1A1A"/>
                <w:sz w:val="15"/>
                <w:szCs w:val="15"/>
              </w:rPr>
              <w:t xml:space="preserve">▪  Assemble the evidence file for each trading licence proposed for revocation</w:t>
            </w:r>
          </w:p>
          <w:p>
            <w:pPr>
              <w:spacing w:after="20" w:before="0" w:line="200"/>
              <w:ind w:left="90"/>
              <w:jc w:val="both"/>
            </w:pPr>
            <w:r>
              <w:rPr>
                <w:rFonts w:ascii="Aptos" w:cs="Aptos" w:eastAsia="Aptos" w:hAnsi="Aptos"/>
                <w:color w:val="1A1A1A"/>
                <w:sz w:val="15"/>
                <w:szCs w:val="15"/>
              </w:rPr>
              <w:t xml:space="preserve">▪  Recommendation by the competent RMB organ, decision by the CEO</w:t>
            </w:r>
          </w:p>
          <w:p>
            <w:pPr>
              <w:spacing w:after="60" w:before="0" w:line="200"/>
              <w:ind w:left="90"/>
              <w:jc w:val="both"/>
            </w:pPr>
            <w:r>
              <w:rPr>
                <w:rFonts w:ascii="Aptos" w:cs="Aptos" w:eastAsia="Aptos" w:hAnsi="Aptos"/>
                <w:color w:val="1A1A1A"/>
                <w:sz w:val="15"/>
                <w:szCs w:val="15"/>
              </w:rPr>
              <w:t xml:space="preserve">▪  Publish the outcome and update the register</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First batch of decisions, register updated</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Competent RMB organ, recommending to the CEO</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Cadastre and digital information division, Legal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Apr 2027 (D+212)</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 (D+272)</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61 days (~2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A2.4</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A2.6</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Continuous licence-health monitoring</w:t>
            </w:r>
          </w:p>
          <w:p>
            <w:pPr>
              <w:spacing w:after="20" w:before="0" w:line="200"/>
              <w:ind w:left="90"/>
              <w:jc w:val="both"/>
            </w:pPr>
            <w:r>
              <w:rPr>
                <w:rFonts w:ascii="Aptos" w:cs="Aptos" w:eastAsia="Aptos" w:hAnsi="Aptos"/>
                <w:color w:val="1A1A1A"/>
                <w:sz w:val="15"/>
                <w:szCs w:val="15"/>
              </w:rPr>
              <w:t xml:space="preserve">▪  Automated dormancy and non-compliance flags in the reporting platform</w:t>
            </w:r>
          </w:p>
          <w:p>
            <w:pPr>
              <w:spacing w:after="20" w:before="0" w:line="200"/>
              <w:ind w:left="90"/>
              <w:jc w:val="both"/>
            </w:pPr>
            <w:r>
              <w:rPr>
                <w:rFonts w:ascii="Aptos" w:cs="Aptos" w:eastAsia="Aptos" w:hAnsi="Aptos"/>
                <w:color w:val="1A1A1A"/>
                <w:sz w:val="15"/>
                <w:szCs w:val="15"/>
              </w:rPr>
              <w:t xml:space="preserve">▪  Standing quarterly licence-health report replacing the periodic campaign</w:t>
            </w:r>
          </w:p>
          <w:p>
            <w:pPr>
              <w:spacing w:after="60" w:before="0" w:line="200"/>
              <w:ind w:left="90"/>
              <w:jc w:val="both"/>
            </w:pPr>
            <w:r>
              <w:rPr>
                <w:rFonts w:ascii="Aptos" w:cs="Aptos" w:eastAsia="Aptos" w:hAnsi="Aptos"/>
                <w:color w:val="1A1A1A"/>
                <w:sz w:val="15"/>
                <w:szCs w:val="15"/>
              </w:rPr>
              <w:t xml:space="preserve">▪  Annual publication of the register's status, and a plan for extending the approach to other licence categories</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Quarterly licence-health report, permanent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Cadastre and digital information division (P)</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head of IT team</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May 2027 (D+242)</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 then permanent</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31 days (~1 month)</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A1.5, A2.5</w:t>
            </w:r>
          </w:p>
        </w:tc>
      </w:tr>
      <w:tr>
        <w:tc>
          <w:tcPr>
            <w:tcW w:type="dxa" w:w="15138"/>
            <w:gridSpan w:val="9"/>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9"/>
                <w:szCs w:val="19"/>
              </w:rPr>
              <w:t xml:space="preserve">WS3, Sector de-risking and financing framework  (01 Oct 2026 to 31 May 2027)</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A3.1</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Mapping, explanation and modelling of risks in the value chain</w:t>
            </w:r>
          </w:p>
          <w:p>
            <w:pPr>
              <w:spacing w:after="20" w:before="0" w:line="200"/>
              <w:ind w:left="90"/>
              <w:jc w:val="both"/>
            </w:pPr>
            <w:r>
              <w:rPr>
                <w:rFonts w:ascii="Aptos" w:cs="Aptos" w:eastAsia="Aptos" w:hAnsi="Aptos"/>
                <w:color w:val="1A1A1A"/>
                <w:sz w:val="15"/>
                <w:szCs w:val="15"/>
              </w:rPr>
              <w:t xml:space="preserve">▪  Map financial risks (price, counterparty, liquidity, foreign exchange, financing) and non-financial risks that carry a financial impact (operational, geological, compliance, traceability, environmental)</w:t>
            </w:r>
          </w:p>
          <w:p>
            <w:pPr>
              <w:spacing w:after="20" w:before="0" w:line="200"/>
              <w:ind w:left="90"/>
              <w:jc w:val="both"/>
            </w:pPr>
            <w:r>
              <w:rPr>
                <w:rFonts w:ascii="Aptos" w:cs="Aptos" w:eastAsia="Aptos" w:hAnsi="Aptos"/>
                <w:color w:val="1A1A1A"/>
                <w:sz w:val="15"/>
                <w:szCs w:val="15"/>
              </w:rPr>
              <w:t xml:space="preserve">▪  Explain each risk in the terms a lender or an insurer uses: what triggers it, who bears it, what it costs</w:t>
            </w:r>
          </w:p>
          <w:p>
            <w:pPr>
              <w:spacing w:after="20" w:before="0" w:line="200"/>
              <w:ind w:left="90"/>
              <w:jc w:val="both"/>
            </w:pPr>
            <w:r>
              <w:rPr>
                <w:rFonts w:ascii="Aptos" w:cs="Aptos" w:eastAsia="Aptos" w:hAnsi="Aptos"/>
                <w:color w:val="1A1A1A"/>
                <w:sz w:val="15"/>
                <w:szCs w:val="15"/>
              </w:rPr>
              <w:t xml:space="preserve">▪  Model the risks quantitatively, per segment of the value chain</w:t>
            </w:r>
          </w:p>
          <w:p>
            <w:pPr>
              <w:spacing w:after="60" w:before="0" w:line="200"/>
              <w:ind w:left="90"/>
              <w:jc w:val="both"/>
            </w:pPr>
            <w:r>
              <w:rPr>
                <w:rFonts w:ascii="Aptos" w:cs="Aptos" w:eastAsia="Aptos" w:hAnsi="Aptos"/>
                <w:color w:val="1A1A1A"/>
                <w:sz w:val="15"/>
                <w:szCs w:val="15"/>
              </w:rPr>
              <w:t xml:space="preserve">▪  Score by likelihood and impact, and identify where RMB's own instruments already reduce exposure</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Sector risk map with explanatory note and quantified model</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All divisions, banks and insurers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Oct 2026 (D+30)</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 (D+90)</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61 days (~2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A3.2</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Demonstration risk-pricing model</w:t>
            </w:r>
          </w:p>
          <w:p>
            <w:pPr>
              <w:spacing w:after="20" w:before="0" w:line="200"/>
              <w:ind w:left="90"/>
              <w:jc w:val="both"/>
            </w:pPr>
            <w:r>
              <w:rPr>
                <w:rFonts w:ascii="Aptos" w:cs="Aptos" w:eastAsia="Aptos" w:hAnsi="Aptos"/>
                <w:color w:val="1A1A1A"/>
                <w:sz w:val="15"/>
                <w:szCs w:val="15"/>
              </w:rPr>
              <w:t xml:space="preserve">▪  Build in Streamlit, on the same principle as the reporting demonstration: shareable, no data retained</w:t>
            </w:r>
          </w:p>
          <w:p>
            <w:pPr>
              <w:spacing w:after="20" w:before="0" w:line="200"/>
              <w:ind w:left="90"/>
              <w:jc w:val="both"/>
            </w:pPr>
            <w:r>
              <w:rPr>
                <w:rFonts w:ascii="Aptos" w:cs="Aptos" w:eastAsia="Aptos" w:hAnsi="Aptos"/>
                <w:color w:val="1A1A1A"/>
                <w:sz w:val="15"/>
                <w:szCs w:val="15"/>
              </w:rPr>
              <w:t xml:space="preserve">▪  Price the mapped risks so a lender can see what a given exposure is worth, and what mitigation is worth</w:t>
            </w:r>
          </w:p>
          <w:p>
            <w:pPr>
              <w:spacing w:after="60" w:before="0" w:line="200"/>
              <w:ind w:left="90"/>
              <w:jc w:val="both"/>
            </w:pPr>
            <w:r>
              <w:rPr>
                <w:rFonts w:ascii="Aptos" w:cs="Aptos" w:eastAsia="Aptos" w:hAnsi="Aptos"/>
                <w:color w:val="1A1A1A"/>
                <w:sz w:val="15"/>
                <w:szCs w:val="15"/>
              </w:rPr>
              <w:t xml:space="preserve">▪  Design it to be run live with financial institutions, with their own assumptions substituted</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Working demonstration risk-pricing model</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Oct 2026 (D+44)</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 (D+90)</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47 days (~2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A3.1</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A3.3</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Engagement with financial institutions around the model</w:t>
            </w:r>
          </w:p>
          <w:p>
            <w:pPr>
              <w:spacing w:after="20" w:before="0" w:line="200"/>
              <w:ind w:left="90"/>
              <w:jc w:val="both"/>
            </w:pPr>
            <w:r>
              <w:rPr>
                <w:rFonts w:ascii="Aptos" w:cs="Aptos" w:eastAsia="Aptos" w:hAnsi="Aptos"/>
                <w:color w:val="1A1A1A"/>
                <w:sz w:val="15"/>
                <w:szCs w:val="15"/>
              </w:rPr>
              <w:t xml:space="preserve">▪  Working sessions with local banks, BNR, MINECOFIN, insurers and DFIs, using the model rather than a presentation</w:t>
            </w:r>
          </w:p>
          <w:p>
            <w:pPr>
              <w:spacing w:after="20" w:before="0" w:line="200"/>
              <w:ind w:left="90"/>
              <w:jc w:val="both"/>
            </w:pPr>
            <w:r>
              <w:rPr>
                <w:rFonts w:ascii="Aptos" w:cs="Aptos" w:eastAsia="Aptos" w:hAnsi="Aptos"/>
                <w:color w:val="1A1A1A"/>
                <w:sz w:val="15"/>
                <w:szCs w:val="15"/>
              </w:rPr>
              <w:t xml:space="preserve">▪  Establish and record what evidence lenders require before they will finance the sector</w:t>
            </w:r>
          </w:p>
          <w:p>
            <w:pPr>
              <w:spacing w:after="60" w:before="0" w:line="200"/>
              <w:ind w:left="90"/>
              <w:jc w:val="both"/>
            </w:pPr>
            <w:r>
              <w:rPr>
                <w:rFonts w:ascii="Aptos" w:cs="Aptos" w:eastAsia="Aptos" w:hAnsi="Aptos"/>
                <w:color w:val="1A1A1A"/>
                <w:sz w:val="15"/>
                <w:szCs w:val="15"/>
              </w:rPr>
              <w:t xml:space="preserve">▪  Test appetite for specific instruments against the mitigation measures already committed</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Engagement report with documented requirements</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with the CEO's office</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Banks, BNR, MINECOFIN, insurers, DFIs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Dec 2026 (D+91)</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 (D+211)</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121 days (~4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A3.2</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A3.4</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Mitigation and monitoring strategy with key risk indicators</w:t>
            </w:r>
          </w:p>
          <w:p>
            <w:pPr>
              <w:spacing w:after="20" w:before="0" w:line="200"/>
              <w:ind w:left="90"/>
              <w:jc w:val="both"/>
            </w:pPr>
            <w:r>
              <w:rPr>
                <w:rFonts w:ascii="Aptos" w:cs="Aptos" w:eastAsia="Aptos" w:hAnsi="Aptos"/>
                <w:color w:val="1A1A1A"/>
                <w:sz w:val="15"/>
                <w:szCs w:val="15"/>
              </w:rPr>
              <w:t xml:space="preserve">▪  For every risk, name the mitigating instrument and the residual exposure</w:t>
            </w:r>
          </w:p>
          <w:p>
            <w:pPr>
              <w:spacing w:after="20" w:before="0" w:line="200"/>
              <w:ind w:left="90"/>
              <w:jc w:val="both"/>
            </w:pPr>
            <w:r>
              <w:rPr>
                <w:rFonts w:ascii="Aptos" w:cs="Aptos" w:eastAsia="Aptos" w:hAnsi="Aptos"/>
                <w:color w:val="1A1A1A"/>
                <w:sz w:val="15"/>
                <w:szCs w:val="15"/>
              </w:rPr>
              <w:t xml:space="preserve">▪  Define key risk indicators and thresholds, each wired to an automatic data source in the reporting platform</w:t>
            </w:r>
          </w:p>
          <w:p>
            <w:pPr>
              <w:spacing w:after="60" w:before="0" w:line="200"/>
              <w:ind w:left="90"/>
              <w:jc w:val="both"/>
            </w:pPr>
            <w:r>
              <w:rPr>
                <w:rFonts w:ascii="Aptos" w:cs="Aptos" w:eastAsia="Aptos" w:hAnsi="Aptos"/>
                <w:color w:val="1A1A1A"/>
                <w:sz w:val="15"/>
                <w:szCs w:val="15"/>
              </w:rPr>
              <w:t xml:space="preserve">▪  Assign an owner and an escalation route to each indicator</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De-risking strategy and key risk indicator set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 all divisions</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 (D+125)</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 (D+211)</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87 days (~3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A3.1</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A3.5</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Financing options study</w:t>
            </w:r>
          </w:p>
          <w:p>
            <w:pPr>
              <w:spacing w:after="20" w:before="0" w:line="200"/>
              <w:ind w:left="90"/>
              <w:jc w:val="both"/>
            </w:pPr>
            <w:r>
              <w:rPr>
                <w:rFonts w:ascii="Aptos" w:cs="Aptos" w:eastAsia="Aptos" w:hAnsi="Aptos"/>
                <w:color w:val="1A1A1A"/>
                <w:sz w:val="15"/>
                <w:szCs w:val="15"/>
              </w:rPr>
              <w:t xml:space="preserve">▪  Mining or sector fund, trade finance backed by registered contracts and verified assays, partial credit guarantee, warehouse receipt financing, equipment leasing, locally sourced offtake prefinancing</w:t>
            </w:r>
          </w:p>
          <w:p>
            <w:pPr>
              <w:spacing w:after="20" w:before="0" w:line="200"/>
              <w:ind w:left="90"/>
              <w:jc w:val="both"/>
            </w:pPr>
            <w:r>
              <w:rPr>
                <w:rFonts w:ascii="Aptos" w:cs="Aptos" w:eastAsia="Aptos" w:hAnsi="Aptos"/>
                <w:color w:val="1A1A1A"/>
                <w:sz w:val="15"/>
                <w:szCs w:val="15"/>
              </w:rPr>
              <w:t xml:space="preserve">▪  For each option: cost, benefit, prerequisite, and which mapped risk it addresses</w:t>
            </w:r>
          </w:p>
          <w:p>
            <w:pPr>
              <w:spacing w:after="60" w:before="0" w:line="200"/>
              <w:ind w:left="90"/>
              <w:jc w:val="both"/>
            </w:pPr>
            <w:r>
              <w:rPr>
                <w:rFonts w:ascii="Aptos" w:cs="Aptos" w:eastAsia="Aptos" w:hAnsi="Aptos"/>
                <w:color w:val="1A1A1A"/>
                <w:sz w:val="15"/>
                <w:szCs w:val="15"/>
              </w:rPr>
              <w:t xml:space="preserve">▪  Rank the options against what the financial institutions said they need</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Financing options study with cost-benefit analysis</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MINECOFIN, BNR, banks, DFIs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Feb 2027 (D+153)</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Apr 2027 (D+241)</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89 days (~3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A3.3, A3.4</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A3.6</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Concept note and roadmap for the retained financing mechanism</w:t>
            </w:r>
          </w:p>
          <w:p>
            <w:pPr>
              <w:spacing w:after="20" w:before="0" w:line="200"/>
              <w:ind w:left="90"/>
              <w:jc w:val="both"/>
            </w:pPr>
            <w:r>
              <w:rPr>
                <w:rFonts w:ascii="Aptos" w:cs="Aptos" w:eastAsia="Aptos" w:hAnsi="Aptos"/>
                <w:color w:val="1A1A1A"/>
                <w:sz w:val="15"/>
                <w:szCs w:val="15"/>
              </w:rPr>
              <w:t xml:space="preserve">▪  Select the mechanism with Senior Management</w:t>
            </w:r>
          </w:p>
          <w:p>
            <w:pPr>
              <w:spacing w:after="20" w:before="0" w:line="200"/>
              <w:ind w:left="90"/>
              <w:jc w:val="both"/>
            </w:pPr>
            <w:r>
              <w:rPr>
                <w:rFonts w:ascii="Aptos" w:cs="Aptos" w:eastAsia="Aptos" w:hAnsi="Aptos"/>
                <w:color w:val="1A1A1A"/>
                <w:sz w:val="15"/>
                <w:szCs w:val="15"/>
              </w:rPr>
              <w:t xml:space="preserve">▪  Produce the concept note, governance model and implementation roadmap</w:t>
            </w:r>
          </w:p>
          <w:p>
            <w:pPr>
              <w:spacing w:after="60" w:before="0" w:line="200"/>
              <w:ind w:left="90"/>
              <w:jc w:val="both"/>
            </w:pPr>
            <w:r>
              <w:rPr>
                <w:rFonts w:ascii="Aptos" w:cs="Aptos" w:eastAsia="Aptos" w:hAnsi="Aptos"/>
                <w:color w:val="1A1A1A"/>
                <w:sz w:val="15"/>
                <w:szCs w:val="15"/>
              </w:rPr>
              <w:t xml:space="preserve">▪  Submit to the Board committee and to MINECOFIN</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Financing concept note and roadmap submitted</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with the CEO</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Board committee, MINECOFIN (P)</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May 2027 (D+242)</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 (D+272)</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31 days (~1 month)</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A3.5</w:t>
            </w:r>
          </w:p>
        </w:tc>
      </w:tr>
      <w:tr>
        <w:tc>
          <w:tcPr>
            <w:tcW w:type="dxa" w:w="15138"/>
            <w:gridSpan w:val="9"/>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9"/>
                <w:szCs w:val="19"/>
              </w:rPr>
              <w:t xml:space="preserve">WS4, Prices predictability for processing-plant investors  (01 Nov 2026 to 31 May 2027)</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A4.1</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Value-chain price and cost mapping for cassiterite, coltan and wolframite</w:t>
            </w:r>
          </w:p>
          <w:p>
            <w:pPr>
              <w:spacing w:after="20" w:before="0" w:line="200"/>
              <w:ind w:left="90"/>
              <w:jc w:val="both"/>
            </w:pPr>
            <w:r>
              <w:rPr>
                <w:rFonts w:ascii="Aptos" w:cs="Aptos" w:eastAsia="Aptos" w:hAnsi="Aptos"/>
                <w:color w:val="1A1A1A"/>
                <w:sz w:val="15"/>
                <w:szCs w:val="15"/>
              </w:rPr>
              <w:t xml:space="preserve">▪  Build the cost taxonomy and data dictionary from mine gate to final consumer: extraction, transport, processing, assay, export, freight, insurance, treatment and refining charges, levies, taxes, financing cost, trading margin</w:t>
            </w:r>
          </w:p>
          <w:p>
            <w:pPr>
              <w:spacing w:after="20" w:before="0" w:line="200"/>
              <w:ind w:left="90"/>
              <w:jc w:val="both"/>
            </w:pPr>
            <w:r>
              <w:rPr>
                <w:rFonts w:ascii="Aptos" w:cs="Aptos" w:eastAsia="Aptos" w:hAnsi="Aptos"/>
                <w:color w:val="1A1A1A"/>
                <w:sz w:val="15"/>
                <w:szCs w:val="15"/>
              </w:rPr>
              <w:t xml:space="preserve">▪  Collect the baseline from the signed contracts, invoices and assay reports RMB already holds, and from platform submissions</w:t>
            </w:r>
          </w:p>
          <w:p>
            <w:pPr>
              <w:spacing w:after="60" w:before="0" w:line="200"/>
              <w:ind w:left="90"/>
              <w:jc w:val="both"/>
            </w:pPr>
            <w:r>
              <w:rPr>
                <w:rFonts w:ascii="Aptos" w:cs="Aptos" w:eastAsia="Aptos" w:hAnsi="Aptos"/>
                <w:color w:val="1A1A1A"/>
                <w:sz w:val="15"/>
                <w:szCs w:val="15"/>
              </w:rPr>
              <w:t xml:space="preserve">▪  Benchmark against public market references; paid data subscriptions are not assumed, since no budget line exists</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Value-chain cost map and data dictionary</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Extraction and inspection division, trading and processing companies</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 (D+61)</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Dec 2026 (D+121)</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61 days (~2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A4.2</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Classification of components into controllable and non-controllable</w:t>
            </w:r>
          </w:p>
          <w:p>
            <w:pPr>
              <w:spacing w:after="20" w:before="0" w:line="200"/>
              <w:ind w:left="90"/>
              <w:jc w:val="both"/>
            </w:pPr>
            <w:r>
              <w:rPr>
                <w:rFonts w:ascii="Aptos" w:cs="Aptos" w:eastAsia="Aptos" w:hAnsi="Aptos"/>
                <w:color w:val="1A1A1A"/>
                <w:sz w:val="15"/>
                <w:szCs w:val="15"/>
              </w:rPr>
              <w:t xml:space="preserve">▪  Apply explicit criteria: does a legal lever exist, does RMB hold the data, can RMB enforce it</w:t>
            </w:r>
          </w:p>
          <w:p>
            <w:pPr>
              <w:spacing w:after="20" w:before="0" w:line="200"/>
              <w:ind w:left="90"/>
              <w:jc w:val="both"/>
            </w:pPr>
            <w:r>
              <w:rPr>
                <w:rFonts w:ascii="Aptos" w:cs="Aptos" w:eastAsia="Aptos" w:hAnsi="Aptos"/>
                <w:color w:val="1A1A1A"/>
                <w:sz w:val="15"/>
                <w:szCs w:val="15"/>
              </w:rPr>
              <w:t xml:space="preserve">▪  Quantify the weight of each category in the final realised value</w:t>
            </w:r>
          </w:p>
          <w:p>
            <w:pPr>
              <w:spacing w:after="60" w:before="0" w:line="200"/>
              <w:ind w:left="90"/>
              <w:jc w:val="both"/>
            </w:pPr>
            <w:r>
              <w:rPr>
                <w:rFonts w:ascii="Aptos" w:cs="Aptos" w:eastAsia="Aptos" w:hAnsi="Aptos"/>
                <w:color w:val="1A1A1A"/>
                <w:sz w:val="15"/>
                <w:szCs w:val="15"/>
              </w:rPr>
              <w:t xml:space="preserve">▪  For non-controllable components, identify the available indirect levers</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Classification matrix with quantified weights</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Extraction and inspection division</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 (D+125)</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Jan 2027 (D+152)</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28 days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A4.1</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A4.3</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Design of direct price-influencing instruments</w:t>
            </w:r>
          </w:p>
          <w:p>
            <w:pPr>
              <w:spacing w:after="20" w:before="0" w:line="200"/>
              <w:ind w:left="90"/>
              <w:jc w:val="both"/>
            </w:pPr>
            <w:r>
              <w:rPr>
                <w:rFonts w:ascii="Aptos" w:cs="Aptos" w:eastAsia="Aptos" w:hAnsi="Aptos"/>
                <w:color w:val="1A1A1A"/>
                <w:sz w:val="15"/>
                <w:szCs w:val="15"/>
              </w:rPr>
              <w:t xml:space="preserve">▪  Quarterly RMB-fixed deduction communiqué, building on the mechanism already drafted in the trading, pricing and value-determination regulation</w:t>
            </w:r>
          </w:p>
          <w:p>
            <w:pPr>
              <w:spacing w:after="20" w:before="0" w:line="200"/>
              <w:ind w:left="90"/>
              <w:jc w:val="both"/>
            </w:pPr>
            <w:r>
              <w:rPr>
                <w:rFonts w:ascii="Aptos" w:cs="Aptos" w:eastAsia="Aptos" w:hAnsi="Aptos"/>
                <w:color w:val="1A1A1A"/>
                <w:sz w:val="15"/>
                <w:szCs w:val="15"/>
              </w:rPr>
              <w:t xml:space="preserve">▪  Published reference-price methodology, and minimum contract content with a floor-price clause</w:t>
            </w:r>
          </w:p>
          <w:p>
            <w:pPr>
              <w:spacing w:after="60" w:before="0" w:line="200"/>
              <w:ind w:left="90"/>
              <w:jc w:val="both"/>
            </w:pPr>
            <w:r>
              <w:rPr>
                <w:rFonts w:ascii="Aptos" w:cs="Aptos" w:eastAsia="Aptos" w:hAnsi="Aptos"/>
                <w:color w:val="1A1A1A"/>
                <w:sz w:val="15"/>
                <w:szCs w:val="15"/>
              </w:rPr>
              <w:t xml:space="preserve">▪  Itemised deduction rules, so that no single bundled treatment-charge line is accepted</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Instrument design note</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Legal (P), RRA and MINECOFIN for tax-linked items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Feb 2027 (D+153)</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28 Feb 2027 (D+180)</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28 days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A4.2</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A4.4</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Feasibility assessment of indirect instruments</w:t>
            </w:r>
          </w:p>
          <w:p>
            <w:pPr>
              <w:spacing w:after="20" w:before="0" w:line="200"/>
              <w:ind w:left="90"/>
              <w:jc w:val="both"/>
            </w:pPr>
            <w:r>
              <w:rPr>
                <w:rFonts w:ascii="Aptos" w:cs="Aptos" w:eastAsia="Aptos" w:hAnsi="Aptos"/>
                <w:color w:val="1A1A1A"/>
                <w:sz w:val="15"/>
                <w:szCs w:val="15"/>
              </w:rPr>
              <w:t xml:space="preserve">▪  Medium and long-term offtake and tolling contracts, index-linked pricing formulas with floors and collars</w:t>
            </w:r>
          </w:p>
          <w:p>
            <w:pPr>
              <w:spacing w:after="20" w:before="0" w:line="200"/>
              <w:ind w:left="90"/>
              <w:jc w:val="both"/>
            </w:pPr>
            <w:r>
              <w:rPr>
                <w:rFonts w:ascii="Aptos" w:cs="Aptos" w:eastAsia="Aptos" w:hAnsi="Aptos"/>
                <w:color w:val="1A1A1A"/>
                <w:sz w:val="15"/>
                <w:szCs w:val="15"/>
              </w:rPr>
              <w:t xml:space="preserve">▪  Hedging through the LME or a broker: legal, accounting, capacity and margin requirements</w:t>
            </w:r>
          </w:p>
          <w:p>
            <w:pPr>
              <w:spacing w:after="60" w:before="0" w:line="200"/>
              <w:ind w:left="90"/>
              <w:jc w:val="both"/>
            </w:pPr>
            <w:r>
              <w:rPr>
                <w:rFonts w:ascii="Aptos" w:cs="Aptos" w:eastAsia="Aptos" w:hAnsi="Aptos"/>
                <w:color w:val="1A1A1A"/>
                <w:sz w:val="15"/>
                <w:szCs w:val="15"/>
              </w:rPr>
              <w:t xml:space="preserve">▪  Price-smoothing arrangements, and who bears the basis risk</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Feasibility note with a ranked recommendation</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BNR and MINECOFIN consultation (P), banks</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Feb 2027 (D+153)</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 (D+211)</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59 days (~2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A4.2</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A4.5</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Proposal to Senior Management and to the Board committee</w:t>
            </w:r>
          </w:p>
          <w:p>
            <w:pPr>
              <w:spacing w:after="20" w:before="0" w:line="200"/>
              <w:ind w:left="90"/>
              <w:jc w:val="both"/>
            </w:pPr>
            <w:r>
              <w:rPr>
                <w:rFonts w:ascii="Aptos" w:cs="Aptos" w:eastAsia="Aptos" w:hAnsi="Aptos"/>
                <w:color w:val="1A1A1A"/>
                <w:sz w:val="15"/>
                <w:szCs w:val="15"/>
              </w:rPr>
              <w:t xml:space="preserve">▪  Consolidate A4.2 to A4.4 into a single decision paper</w:t>
            </w:r>
          </w:p>
          <w:p>
            <w:pPr>
              <w:spacing w:after="60" w:before="0" w:line="200"/>
              <w:ind w:left="90"/>
              <w:jc w:val="both"/>
            </w:pPr>
            <w:r>
              <w:rPr>
                <w:rFonts w:ascii="Aptos" w:cs="Aptos" w:eastAsia="Aptos" w:hAnsi="Aptos"/>
                <w:color w:val="1A1A1A"/>
                <w:sz w:val="15"/>
                <w:szCs w:val="15"/>
              </w:rPr>
              <w:t xml:space="preserve">▪  Management review session, then presentation to the Board committee for validation before implementation</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Decision paper, recorded decision</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CEO, Board committee chair</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Apr 2027 (D+212)</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Apr 2027 (D+241)</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30 days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A4.3, A4.4</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A4.6</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Price and cost monitoring dashboard</w:t>
            </w:r>
          </w:p>
          <w:p>
            <w:pPr>
              <w:spacing w:after="20" w:before="0" w:line="200"/>
              <w:ind w:left="90"/>
              <w:jc w:val="both"/>
            </w:pPr>
            <w:r>
              <w:rPr>
                <w:rFonts w:ascii="Aptos" w:cs="Aptos" w:eastAsia="Aptos" w:hAnsi="Aptos"/>
                <w:color w:val="1A1A1A"/>
                <w:sz w:val="15"/>
                <w:szCs w:val="15"/>
              </w:rPr>
              <w:t xml:space="preserve">▪  Generalise the existing cassiterite pricing model to coltan and wolframite</w:t>
            </w:r>
          </w:p>
          <w:p>
            <w:pPr>
              <w:spacing w:after="20" w:before="0" w:line="200"/>
              <w:ind w:left="90"/>
              <w:jc w:val="both"/>
            </w:pPr>
            <w:r>
              <w:rPr>
                <w:rFonts w:ascii="Aptos" w:cs="Aptos" w:eastAsia="Aptos" w:hAnsi="Aptos"/>
                <w:color w:val="1A1A1A"/>
                <w:sz w:val="15"/>
                <w:szCs w:val="15"/>
              </w:rPr>
              <w:t xml:space="preserve">▪  Feed it automatically from the reporting platform and from public market references</w:t>
            </w:r>
          </w:p>
          <w:p>
            <w:pPr>
              <w:spacing w:after="60" w:before="0" w:line="200"/>
              <w:ind w:left="90"/>
              <w:jc w:val="both"/>
            </w:pPr>
            <w:r>
              <w:rPr>
                <w:rFonts w:ascii="Aptos" w:cs="Aptos" w:eastAsia="Aptos" w:hAnsi="Aptos"/>
                <w:color w:val="1A1A1A"/>
                <w:sz w:val="15"/>
                <w:szCs w:val="15"/>
              </w:rPr>
              <w:t xml:space="preserve">▪  Alert when a declared price or deduction falls outside the reference band</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Monitoring dashboard, demonstration release</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Mar 2027 (D+181)</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 (D+272)</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92 days (~3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A4.2</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A4.7</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First quarterly price and cost outlook for investors</w:t>
            </w:r>
          </w:p>
          <w:p>
            <w:pPr>
              <w:spacing w:after="20" w:before="0" w:line="200"/>
              <w:ind w:left="90"/>
              <w:jc w:val="both"/>
            </w:pPr>
            <w:r>
              <w:rPr>
                <w:rFonts w:ascii="Aptos" w:cs="Aptos" w:eastAsia="Aptos" w:hAnsi="Aptos"/>
                <w:color w:val="1A1A1A"/>
                <w:sz w:val="15"/>
                <w:szCs w:val="15"/>
              </w:rPr>
              <w:t xml:space="preserve">▪  Define the publication format and the confidentiality boundary</w:t>
            </w:r>
          </w:p>
          <w:p>
            <w:pPr>
              <w:spacing w:after="20" w:before="0" w:line="200"/>
              <w:ind w:left="90"/>
              <w:jc w:val="both"/>
            </w:pPr>
            <w:r>
              <w:rPr>
                <w:rFonts w:ascii="Aptos" w:cs="Aptos" w:eastAsia="Aptos" w:hAnsi="Aptos"/>
                <w:color w:val="1A1A1A"/>
                <w:sz w:val="15"/>
                <w:szCs w:val="15"/>
              </w:rPr>
              <w:t xml:space="preserve">▪  Publish the first issue, then one per quarter</w:t>
            </w:r>
          </w:p>
          <w:p>
            <w:pPr>
              <w:spacing w:after="60" w:before="0" w:line="200"/>
              <w:ind w:left="90"/>
              <w:jc w:val="both"/>
            </w:pPr>
            <w:r>
              <w:rPr>
                <w:rFonts w:ascii="Aptos" w:cs="Aptos" w:eastAsia="Aptos" w:hAnsi="Aptos"/>
                <w:color w:val="1A1A1A"/>
                <w:sz w:val="15"/>
                <w:szCs w:val="15"/>
              </w:rPr>
              <w:t xml:space="preserve">▪  Collect investor feedback and refine</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Published quarterly outlook note</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Communication, CEO's office</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May 2027 (D+242)</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 then quarterly</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31 days (~1 month)</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A4.6</w:t>
            </w:r>
          </w:p>
        </w:tc>
      </w:tr>
      <w:tr>
        <w:tc>
          <w:tcPr>
            <w:tcW w:type="dxa" w:w="15138"/>
            <w:gridSpan w:val="9"/>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9"/>
                <w:szCs w:val="19"/>
              </w:rPr>
              <w:t xml:space="preserve">WS5, Programme mobilisation and governance  (05 Sep 2026 to 30 Nov 2026)</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A5.1</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Review and validation of this action plan</w:t>
            </w:r>
          </w:p>
          <w:p>
            <w:pPr>
              <w:spacing w:after="20" w:before="0" w:line="200"/>
              <w:ind w:left="90"/>
              <w:jc w:val="both"/>
            </w:pPr>
            <w:r>
              <w:rPr>
                <w:rFonts w:ascii="Aptos" w:cs="Aptos" w:eastAsia="Aptos" w:hAnsi="Aptos"/>
                <w:color w:val="1A1A1A"/>
                <w:sz w:val="15"/>
                <w:szCs w:val="15"/>
              </w:rPr>
              <w:t xml:space="preserve">▪  Circulate to Senior Management and to the Board committee chair</w:t>
            </w:r>
          </w:p>
          <w:p>
            <w:pPr>
              <w:spacing w:after="20" w:before="0" w:line="200"/>
              <w:ind w:left="90"/>
              <w:jc w:val="both"/>
            </w:pPr>
            <w:r>
              <w:rPr>
                <w:rFonts w:ascii="Aptos" w:cs="Aptos" w:eastAsia="Aptos" w:hAnsi="Aptos"/>
                <w:color w:val="1A1A1A"/>
                <w:sz w:val="15"/>
                <w:szCs w:val="15"/>
              </w:rPr>
              <w:t xml:space="preserve">▪  Hold one review session and collect written comments</w:t>
            </w:r>
          </w:p>
          <w:p>
            <w:pPr>
              <w:spacing w:after="60" w:before="0" w:line="200"/>
              <w:ind w:left="90"/>
              <w:jc w:val="both"/>
            </w:pPr>
            <w:r>
              <w:rPr>
                <w:rFonts w:ascii="Aptos" w:cs="Aptos" w:eastAsia="Aptos" w:hAnsi="Aptos"/>
                <w:color w:val="1A1A1A"/>
                <w:sz w:val="15"/>
                <w:szCs w:val="15"/>
              </w:rPr>
              <w:t xml:space="preserve">▪  Incorporate comments and issue the approved version</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Approved action plan</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Advisor to the CEO (P)</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05 Sep 2026 (D+4)</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19 Sep 2026 (D+18)</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days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A5.2</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Internal delivery team and named focal points</w:t>
            </w:r>
          </w:p>
          <w:p>
            <w:pPr>
              <w:spacing w:after="20" w:before="0" w:line="200"/>
              <w:ind w:left="90"/>
              <w:jc w:val="both"/>
            </w:pPr>
            <w:r>
              <w:rPr>
                <w:rFonts w:ascii="Aptos" w:cs="Aptos" w:eastAsia="Aptos" w:hAnsi="Aptos"/>
                <w:color w:val="1A1A1A"/>
                <w:sz w:val="15"/>
                <w:szCs w:val="15"/>
              </w:rPr>
              <w:t xml:space="preserve">▪  Designate a focal point per division: cadastre and digital information, extraction and inspection, exploration, IT, legal</w:t>
            </w:r>
          </w:p>
          <w:p>
            <w:pPr>
              <w:spacing w:after="20" w:before="0" w:line="200"/>
              <w:ind w:left="90"/>
              <w:jc w:val="both"/>
            </w:pPr>
            <w:r>
              <w:rPr>
                <w:rFonts w:ascii="Aptos" w:cs="Aptos" w:eastAsia="Aptos" w:hAnsi="Aptos"/>
                <w:color w:val="1A1A1A"/>
                <w:sz w:val="15"/>
                <w:szCs w:val="15"/>
              </w:rPr>
              <w:t xml:space="preserve">▪  Define time allocation and substitution arrangements</w:t>
            </w:r>
          </w:p>
          <w:p>
            <w:pPr>
              <w:spacing w:after="60" w:before="0" w:line="200"/>
              <w:ind w:left="90"/>
              <w:jc w:val="both"/>
            </w:pPr>
            <w:r>
              <w:rPr>
                <w:rFonts w:ascii="Aptos" w:cs="Aptos" w:eastAsia="Aptos" w:hAnsi="Aptos"/>
                <w:color w:val="1A1A1A"/>
                <w:sz w:val="15"/>
                <w:szCs w:val="15"/>
              </w:rPr>
              <w:t xml:space="preserve">▪  Issue the service note</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Service note designating the delivery team</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Chief Executive Officer (P)</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Heads of department and division managers</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08 Sep 2026 (D+7)</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Sep 2026 (D+29)</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23 days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A5.1</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A5.3</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Programme dashboard, reporting calendar and repository</w:t>
            </w:r>
          </w:p>
          <w:p>
            <w:pPr>
              <w:spacing w:after="20" w:before="0" w:line="200"/>
              <w:ind w:left="90"/>
              <w:jc w:val="both"/>
            </w:pPr>
            <w:r>
              <w:rPr>
                <w:rFonts w:ascii="Aptos" w:cs="Aptos" w:eastAsia="Aptos" w:hAnsi="Aptos"/>
                <w:color w:val="1A1A1A"/>
                <w:sz w:val="15"/>
                <w:szCs w:val="15"/>
              </w:rPr>
              <w:t xml:space="preserve">▪  Milestone tracker with owner, due date and status</w:t>
            </w:r>
          </w:p>
          <w:p>
            <w:pPr>
              <w:spacing w:after="20" w:before="0" w:line="200"/>
              <w:ind w:left="90"/>
              <w:jc w:val="both"/>
            </w:pPr>
            <w:r>
              <w:rPr>
                <w:rFonts w:ascii="Aptos" w:cs="Aptos" w:eastAsia="Aptos" w:hAnsi="Aptos"/>
                <w:color w:val="1A1A1A"/>
                <w:sz w:val="15"/>
                <w:szCs w:val="15"/>
              </w:rPr>
              <w:t xml:space="preserve">▪  Reporting calendar published: weekly, monthly, quarterly</w:t>
            </w:r>
          </w:p>
          <w:p>
            <w:pPr>
              <w:spacing w:after="60" w:before="0" w:line="200"/>
              <w:ind w:left="90"/>
              <w:jc w:val="both"/>
            </w:pPr>
            <w:r>
              <w:rPr>
                <w:rFonts w:ascii="Aptos" w:cs="Aptos" w:eastAsia="Aptos" w:hAnsi="Aptos"/>
                <w:color w:val="1A1A1A"/>
                <w:sz w:val="15"/>
                <w:szCs w:val="15"/>
              </w:rPr>
              <w:t xml:space="preserve">▪  Single shared repository for all programme documents</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Live programme dashboard and calendar</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Oct 2026 (D+30)</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 (D+60)</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31 days (~1 month)</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A5.2</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A5.4</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Progress pack for the December 2026 Board meeting</w:t>
            </w:r>
          </w:p>
          <w:p>
            <w:pPr>
              <w:spacing w:after="20" w:before="0" w:line="200"/>
              <w:ind w:left="90"/>
              <w:jc w:val="both"/>
            </w:pPr>
            <w:r>
              <w:rPr>
                <w:rFonts w:ascii="Aptos" w:cs="Aptos" w:eastAsia="Aptos" w:hAnsi="Aptos"/>
                <w:color w:val="1A1A1A"/>
                <w:sz w:val="15"/>
                <w:szCs w:val="15"/>
              </w:rPr>
              <w:t xml:space="preserve">▪  Assemble the flagship demonstrations into a single live session, not a slide narrative</w:t>
            </w:r>
          </w:p>
          <w:p>
            <w:pPr>
              <w:spacing w:after="20" w:before="0" w:line="200"/>
              <w:ind w:left="90"/>
              <w:jc w:val="both"/>
            </w:pPr>
            <w:r>
              <w:rPr>
                <w:rFonts w:ascii="Aptos" w:cs="Aptos" w:eastAsia="Aptos" w:hAnsi="Aptos"/>
                <w:color w:val="1A1A1A"/>
                <w:sz w:val="15"/>
                <w:szCs w:val="15"/>
              </w:rPr>
              <w:t xml:space="preserve">▪  Prepare the decisions the Board is being asked to take, each with its options and consequences</w:t>
            </w:r>
          </w:p>
          <w:p>
            <w:pPr>
              <w:spacing w:after="60" w:before="0" w:line="200"/>
              <w:ind w:left="90"/>
              <w:jc w:val="both"/>
            </w:pPr>
            <w:r>
              <w:rPr>
                <w:rFonts w:ascii="Aptos" w:cs="Aptos" w:eastAsia="Aptos" w:hAnsi="Aptos"/>
                <w:color w:val="1A1A1A"/>
                <w:sz w:val="15"/>
                <w:szCs w:val="15"/>
              </w:rPr>
              <w:t xml:space="preserve">▪  Dry run with Senior Management before the meeting</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Board pack and live demonstration</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with the CEO</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All delivery-team focal points</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 (D+61)</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 (D+90)</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30 days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A1.2, A2.2, A3.2</w:t>
            </w:r>
          </w:p>
        </w:tc>
      </w:tr>
      <w:tr>
        <w:tc>
          <w:tcPr>
            <w:tcW w:type="dxa" w:w="15138"/>
            <w:gridSpan w:val="9"/>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9"/>
                <w:szCs w:val="19"/>
              </w:rPr>
              <w:t xml:space="preserve">WS6, Decision-making ecosystem, automation and AI (cross-cutting)  (15 Sep 2026 to 31 May 2027)</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A6.1</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Portable AI prompt and skill library for file conversion and analysis</w:t>
            </w:r>
          </w:p>
          <w:p>
            <w:pPr>
              <w:spacing w:after="20" w:before="0" w:line="200"/>
              <w:ind w:left="90"/>
              <w:jc w:val="both"/>
            </w:pPr>
            <w:r>
              <w:rPr>
                <w:rFonts w:ascii="Aptos" w:cs="Aptos" w:eastAsia="Aptos" w:hAnsi="Aptos"/>
                <w:color w:val="1A1A1A"/>
                <w:sz w:val="15"/>
                <w:szCs w:val="15"/>
              </w:rPr>
              <w:t xml:space="preserve">▪  Write optimised, tool-agnostic prompts and skill files, stored as Markdown, text, JSON or YAML, that any AI assistant can use</w:t>
            </w:r>
          </w:p>
          <w:p>
            <w:pPr>
              <w:spacing w:after="20" w:before="0" w:line="200"/>
              <w:ind w:left="90"/>
              <w:jc w:val="both"/>
            </w:pPr>
            <w:r>
              <w:rPr>
                <w:rFonts w:ascii="Aptos" w:cs="Aptos" w:eastAsia="Aptos" w:hAnsi="Aptos"/>
                <w:color w:val="1A1A1A"/>
                <w:sz w:val="15"/>
                <w:szCs w:val="15"/>
              </w:rPr>
              <w:t xml:space="preserve">▪  Cover the conversion of non-spreadsheet records (PDF, scanned or text) into clean Excel or CSV files the platform can read</w:t>
            </w:r>
          </w:p>
          <w:p>
            <w:pPr>
              <w:spacing w:after="20" w:before="0" w:line="200"/>
              <w:ind w:left="90"/>
              <w:jc w:val="both"/>
            </w:pPr>
            <w:r>
              <w:rPr>
                <w:rFonts w:ascii="Aptos" w:cs="Aptos" w:eastAsia="Aptos" w:hAnsi="Aptos"/>
                <w:color w:val="1A1A1A"/>
                <w:sz w:val="15"/>
                <w:szCs w:val="15"/>
              </w:rPr>
              <w:t xml:space="preserve">▪  Publish them for download alongside the demonstration platform, with a short usage guide</w:t>
            </w:r>
          </w:p>
          <w:p>
            <w:pPr>
              <w:spacing w:after="60" w:before="0" w:line="200"/>
              <w:ind w:left="90"/>
              <w:jc w:val="both"/>
            </w:pPr>
            <w:r>
              <w:rPr>
                <w:rFonts w:ascii="Aptos" w:cs="Aptos" w:eastAsia="Aptos" w:hAnsi="Aptos"/>
                <w:color w:val="1A1A1A"/>
                <w:sz w:val="15"/>
                <w:szCs w:val="15"/>
              </w:rPr>
              <w:t xml:space="preserve">▪  Version them, so that a correction reaches every user at once</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Downloadable prompt and skill library with usage guide</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Sep 2026 (D+14)</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 (D+60)</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47 days (~2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A6.2</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Data governance, confidentiality and audit-trail policy</w:t>
            </w:r>
          </w:p>
          <w:p>
            <w:pPr>
              <w:spacing w:after="20" w:before="0" w:line="200"/>
              <w:ind w:left="90"/>
              <w:jc w:val="both"/>
            </w:pPr>
            <w:r>
              <w:rPr>
                <w:rFonts w:ascii="Aptos" w:cs="Aptos" w:eastAsia="Aptos" w:hAnsi="Aptos"/>
                <w:color w:val="1A1A1A"/>
                <w:sz w:val="15"/>
                <w:szCs w:val="15"/>
              </w:rPr>
              <w:t xml:space="preserve">▪  A short data-handling note covering the demonstration platform, issued before any company data is uploaded</w:t>
            </w:r>
          </w:p>
          <w:p>
            <w:pPr>
              <w:spacing w:after="20" w:before="0" w:line="200"/>
              <w:ind w:left="90"/>
              <w:jc w:val="both"/>
            </w:pPr>
            <w:r>
              <w:rPr>
                <w:rFonts w:ascii="Aptos" w:cs="Aptos" w:eastAsia="Aptos" w:hAnsi="Aptos"/>
                <w:color w:val="1A1A1A"/>
                <w:sz w:val="15"/>
                <w:szCs w:val="15"/>
              </w:rPr>
              <w:t xml:space="preserve">▪  Full policy: classification by sensitivity, who may see what, retention, audit trail</w:t>
            </w:r>
          </w:p>
          <w:p>
            <w:pPr>
              <w:spacing w:after="60" w:before="0" w:line="200"/>
              <w:ind w:left="90"/>
              <w:jc w:val="both"/>
            </w:pPr>
            <w:r>
              <w:rPr>
                <w:rFonts w:ascii="Aptos" w:cs="Aptos" w:eastAsia="Aptos" w:hAnsi="Aptos"/>
                <w:color w:val="1A1A1A"/>
                <w:sz w:val="15"/>
                <w:szCs w:val="15"/>
              </w:rPr>
              <w:t xml:space="preserve">▪  Rules for automated processing and for any use of artificial intelligence</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Demonstration data-handling note, then full policy</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with Legal (P)</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 CEO's office</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Sep 2026 (D+14)</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Note 31 Oct 2026, policy 31 Dec 2026</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108 days (~4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none</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A6.3</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Standard analytical products and publication calendar</w:t>
            </w:r>
          </w:p>
          <w:p>
            <w:pPr>
              <w:spacing w:after="20" w:before="0" w:line="200"/>
              <w:ind w:left="90"/>
              <w:jc w:val="both"/>
            </w:pPr>
            <w:r>
              <w:rPr>
                <w:rFonts w:ascii="Aptos" w:cs="Aptos" w:eastAsia="Aptos" w:hAnsi="Aptos"/>
                <w:color w:val="1A1A1A"/>
                <w:sz w:val="15"/>
                <w:szCs w:val="15"/>
              </w:rPr>
              <w:t xml:space="preserve">▪  Monthly sector dashboard for Senior Management</w:t>
            </w:r>
          </w:p>
          <w:p>
            <w:pPr>
              <w:spacing w:after="20" w:before="0" w:line="200"/>
              <w:ind w:left="90"/>
              <w:jc w:val="both"/>
            </w:pPr>
            <w:r>
              <w:rPr>
                <w:rFonts w:ascii="Aptos" w:cs="Aptos" w:eastAsia="Aptos" w:hAnsi="Aptos"/>
                <w:color w:val="1A1A1A"/>
                <w:sz w:val="15"/>
                <w:szCs w:val="15"/>
              </w:rPr>
              <w:t xml:space="preserve">▪  Quarterly pack for the Board committee, and a weekly price watch</w:t>
            </w:r>
          </w:p>
          <w:p>
            <w:pPr>
              <w:spacing w:after="60" w:before="0" w:line="200"/>
              <w:ind w:left="90"/>
              <w:jc w:val="both"/>
            </w:pPr>
            <w:r>
              <w:rPr>
                <w:rFonts w:ascii="Aptos" w:cs="Aptos" w:eastAsia="Aptos" w:hAnsi="Aptos"/>
                <w:color w:val="1A1A1A"/>
                <w:sz w:val="15"/>
                <w:szCs w:val="15"/>
              </w:rPr>
              <w:t xml:space="preserve">▪  Exception alerts issued within 48 hours of detection</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Product catalogue and first issues in circulation</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Head of IT team</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 (D+61)</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 then continuous</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30 days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A1.5</w:t>
            </w:r>
          </w:p>
        </w:tc>
      </w:tr>
      <w:tr>
        <w:tc>
          <w:tcPr>
            <w:tcW w:type="dxa" w:w="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A6.4</w:t>
            </w:r>
          </w:p>
        </w:tc>
        <w:tc>
          <w:tcPr>
            <w:tcW w:type="dxa" w:w="5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Information-flow map and target decision workflow</w:t>
            </w:r>
          </w:p>
          <w:p>
            <w:pPr>
              <w:spacing w:after="20" w:before="0" w:line="200"/>
              <w:ind w:left="90"/>
              <w:jc w:val="both"/>
            </w:pPr>
            <w:r>
              <w:rPr>
                <w:rFonts w:ascii="Aptos" w:cs="Aptos" w:eastAsia="Aptos" w:hAnsi="Aptos"/>
                <w:color w:val="1A1A1A"/>
                <w:sz w:val="15"/>
                <w:szCs w:val="15"/>
              </w:rPr>
              <w:t xml:space="preserve">▪  Map how sector information currently reaches a decision, and where it stops</w:t>
            </w:r>
          </w:p>
          <w:p>
            <w:pPr>
              <w:spacing w:after="20" w:before="0" w:line="200"/>
              <w:ind w:left="90"/>
              <w:jc w:val="both"/>
            </w:pPr>
            <w:r>
              <w:rPr>
                <w:rFonts w:ascii="Aptos" w:cs="Aptos" w:eastAsia="Aptos" w:hAnsi="Aptos"/>
                <w:color w:val="1A1A1A"/>
                <w:sz w:val="15"/>
                <w:szCs w:val="15"/>
              </w:rPr>
              <w:t xml:space="preserve">▪  Design the target flow (data, analysis, recommendation, decision, execution, feedback) with a service level for each step</w:t>
            </w:r>
          </w:p>
          <w:p>
            <w:pPr>
              <w:spacing w:after="60" w:before="0" w:line="200"/>
              <w:ind w:left="90"/>
              <w:jc w:val="both"/>
            </w:pPr>
            <w:r>
              <w:rPr>
                <w:rFonts w:ascii="Aptos" w:cs="Aptos" w:eastAsia="Aptos" w:hAnsi="Aptos"/>
                <w:color w:val="1A1A1A"/>
                <w:sz w:val="15"/>
                <w:szCs w:val="15"/>
              </w:rPr>
              <w:t xml:space="preserve">▪  Define the escalation route for exceptions</w:t>
            </w:r>
          </w:p>
        </w:tc>
        <w:tc>
          <w:tcPr>
            <w:tcW w:type="dxa" w:w="16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Decision and information-flow map with service levels</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w:t>
            </w:r>
          </w:p>
        </w:tc>
        <w:tc>
          <w:tcPr>
            <w:tcW w:type="dxa" w:w="1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CEO's office, all divisions</w:t>
            </w:r>
          </w:p>
        </w:tc>
        <w:tc>
          <w:tcPr>
            <w:tcW w:type="dxa" w:w="9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 (D+61)</w:t>
            </w:r>
          </w:p>
        </w:tc>
        <w:tc>
          <w:tcPr>
            <w:tcW w:type="dxa" w:w="12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Dec 2026 (D+121)</w:t>
            </w:r>
          </w:p>
        </w:tc>
        <w:tc>
          <w:tcPr>
            <w:tcW w:type="dxa" w:w="10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61 days (~2 months)</w:t>
            </w:r>
          </w:p>
        </w:tc>
        <w:tc>
          <w:tcPr>
            <w:tcW w:type="dxa" w:w="14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A5.2</w:t>
            </w:r>
          </w:p>
        </w:tc>
      </w:tr>
      <w:tr>
        <w:tc>
          <w:tcPr>
            <w:tcW w:type="dxa" w:w="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A6.5</w:t>
            </w:r>
          </w:p>
        </w:tc>
        <w:tc>
          <w:tcPr>
            <w:tcW w:type="dxa" w:w="5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20" w:before="40" w:line="240"/>
              <w:jc w:val="left"/>
            </w:pPr>
            <w:r>
              <w:rPr>
                <w:rFonts w:ascii="Aptos" w:cs="Aptos" w:eastAsia="Aptos" w:hAnsi="Aptos"/>
                <w:b/>
                <w:bCs/>
                <w:color w:val="0B2A3D"/>
                <w:sz w:val="16"/>
                <w:szCs w:val="16"/>
              </w:rPr>
              <w:t xml:space="preserve">Automation and artificial-intelligence roadmap</w:t>
            </w:r>
          </w:p>
          <w:p>
            <w:pPr>
              <w:spacing w:after="20" w:before="0" w:line="200"/>
              <w:ind w:left="90"/>
              <w:jc w:val="both"/>
            </w:pPr>
            <w:r>
              <w:rPr>
                <w:rFonts w:ascii="Aptos" w:cs="Aptos" w:eastAsia="Aptos" w:hAnsi="Aptos"/>
                <w:color w:val="1A1A1A"/>
                <w:sz w:val="15"/>
                <w:szCs w:val="15"/>
              </w:rPr>
              <w:t xml:space="preserve">▪  Rank the use cases by value and feasibility</w:t>
            </w:r>
          </w:p>
          <w:p>
            <w:pPr>
              <w:spacing w:after="20" w:before="0" w:line="200"/>
              <w:ind w:left="90"/>
              <w:jc w:val="both"/>
            </w:pPr>
            <w:r>
              <w:rPr>
                <w:rFonts w:ascii="Aptos" w:cs="Aptos" w:eastAsia="Aptos" w:hAnsi="Aptos"/>
                <w:color w:val="1A1A1A"/>
                <w:sz w:val="15"/>
                <w:szCs w:val="15"/>
              </w:rPr>
              <w:t xml:space="preserve">▪  Start with deterministic rules, then add document extraction and predictive analytics</w:t>
            </w:r>
          </w:p>
          <w:p>
            <w:pPr>
              <w:spacing w:after="20" w:before="0" w:line="200"/>
              <w:ind w:left="90"/>
              <w:jc w:val="both"/>
            </w:pPr>
            <w:r>
              <w:rPr>
                <w:rFonts w:ascii="Aptos" w:cs="Aptos" w:eastAsia="Aptos" w:hAnsi="Aptos"/>
                <w:color w:val="1A1A1A"/>
                <w:sz w:val="15"/>
                <w:szCs w:val="15"/>
              </w:rPr>
              <w:t xml:space="preserve">▪  Define the human review required for every use case touching a licence, an assessment or a sanction</w:t>
            </w:r>
          </w:p>
          <w:p>
            <w:pPr>
              <w:spacing w:after="60" w:before="0" w:line="200"/>
              <w:ind w:left="90"/>
              <w:jc w:val="both"/>
            </w:pPr>
            <w:r>
              <w:rPr>
                <w:rFonts w:ascii="Aptos" w:cs="Aptos" w:eastAsia="Aptos" w:hAnsi="Aptos"/>
                <w:color w:val="1A1A1A"/>
                <w:sz w:val="15"/>
                <w:szCs w:val="15"/>
              </w:rPr>
              <w:t xml:space="preserve">▪  Phased releases, each measured on time saved and errors caught</w:t>
            </w:r>
          </w:p>
        </w:tc>
        <w:tc>
          <w:tcPr>
            <w:tcW w:type="dxa" w:w="16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Roadmap and successive releases</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Mineral market intelligence expert, with the head of IT team</w:t>
            </w:r>
          </w:p>
        </w:tc>
        <w:tc>
          <w:tcPr>
            <w:tcW w:type="dxa" w:w="1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5"/>
                <w:szCs w:val="15"/>
              </w:rPr>
              <w:t xml:space="preserve">Cadastre and digital information division</w:t>
            </w:r>
          </w:p>
        </w:tc>
        <w:tc>
          <w:tcPr>
            <w:tcW w:type="dxa" w:w="9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 (D+125)</w:t>
            </w:r>
          </w:p>
        </w:tc>
        <w:tc>
          <w:tcPr>
            <w:tcW w:type="dxa" w:w="12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Roadmap 31 Jan 2027, releases to 31 May 2027</w:t>
            </w:r>
          </w:p>
        </w:tc>
        <w:tc>
          <w:tcPr>
            <w:tcW w:type="dxa" w:w="10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148 days (~5 months)</w:t>
            </w:r>
          </w:p>
        </w:tc>
        <w:tc>
          <w:tcPr>
            <w:tcW w:type="dxa" w:w="14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A1.5</w:t>
            </w:r>
          </w:p>
        </w:tc>
      </w:tr>
    </w:tbl>
    <w:p>
      <w:pPr>
        <w:spacing w:after="20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5. Schedule</w:t>
      </w:r>
    </w:p>
    <w:p>
      <w:pPr>
        <w:spacing w:after="120" w:before="0" w:line="240"/>
        <w:jc w:val="both"/>
      </w:pPr>
      <w:r>
        <w:rPr>
          <w:rFonts w:ascii="Aptos" w:cs="Aptos" w:eastAsia="Aptos" w:hAnsi="Aptos"/>
          <w:color w:val="1A1A1A"/>
          <w:sz w:val="20"/>
          <w:szCs w:val="20"/>
        </w:rPr>
        <w:t xml:space="preserve">Each bar spans the months in which the activity is active, and the start and end dates are given in full beside it. The coloured row at the head of each block is the workstream as a whole, so its own start and end are visible. The December 2026 column is the Board meeting at which the first results are shown.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600"/>
        <w:gridCol w:w="3238"/>
        <w:gridCol w:w="1150"/>
        <w:gridCol w:w="1150"/>
        <w:gridCol w:w="1000"/>
        <w:gridCol w:w="1000"/>
        <w:gridCol w:w="1000"/>
        <w:gridCol w:w="1000"/>
        <w:gridCol w:w="1000"/>
        <w:gridCol w:w="1000"/>
        <w:gridCol w:w="1000"/>
        <w:gridCol w:w="1000"/>
        <w:gridCol w:w="1000"/>
      </w:tblGrid>
      <w:tr>
        <w:trPr>
          <w:tblHeader/>
        </w:trPr>
        <w:tc>
          <w:tcPr>
            <w:tcW w:type="dxa" w:w="6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Ref.</w:t>
            </w:r>
          </w:p>
        </w:tc>
        <w:tc>
          <w:tcPr>
            <w:tcW w:type="dxa" w:w="3238"/>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Activity</w:t>
            </w:r>
          </w:p>
        </w:tc>
        <w:tc>
          <w:tcPr>
            <w:tcW w:type="dxa" w:w="115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Starts</w:t>
            </w:r>
          </w:p>
        </w:tc>
        <w:tc>
          <w:tcPr>
            <w:tcW w:type="dxa" w:w="115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Ends</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Sep-26</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Oct-26</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Nov-26</w:t>
            </w:r>
          </w:p>
        </w:tc>
        <w:tc>
          <w:tcPr>
            <w:tcW w:type="dxa" w:w="1000"/>
            <w:tcBorders>
              <w:top w:val="single" w:color="C7D2DA" w:sz="2"/>
              <w:left w:val="single" w:color="C7D2DA" w:sz="2"/>
              <w:bottom w:val="single" w:color="C7D2DA" w:sz="2"/>
              <w:right w:val="single" w:color="C7D2DA" w:sz="2"/>
            </w:tcBorders>
            <w:shd w:fill="FAD201"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4"/>
                <w:szCs w:val="14"/>
              </w:rPr>
              <w:t xml:space="preserve">Dec-26</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Jan-27</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Feb-27</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Mar-27</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Apr-27</w:t>
            </w:r>
          </w:p>
        </w:tc>
        <w:tc>
          <w:tcPr>
            <w:tcW w:type="dxa" w:w="1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May-27</w:t>
            </w:r>
          </w:p>
        </w:tc>
      </w:tr>
      <w:tr>
        <w:tc>
          <w:tcPr>
            <w:tcW w:type="dxa" w:w="6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WS1</w:t>
            </w:r>
          </w:p>
        </w:tc>
        <w:tc>
          <w:tcPr>
            <w:tcW w:type="dxa" w:w="3238"/>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Company oversight through enforced reporting</w:t>
            </w:r>
          </w:p>
        </w:tc>
        <w:tc>
          <w:tcPr>
            <w:tcW w:type="dxa" w:w="115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08 Sep 2026</w:t>
            </w:r>
          </w:p>
        </w:tc>
        <w:tc>
          <w:tcPr>
            <w:tcW w:type="dxa" w:w="115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31 May 2027</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A1.1</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Legal stocktake of existing reporting obligations</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22 Sep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A1.2</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Demonstration reporting and analysis platform</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08 Sep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A1.3</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Options paper on access to company information</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Oct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15 Nov 2026</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A1.4</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Reporting framework by licensee category</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15 Dec 2026</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A1.5</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Automated validation and analysis layer</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Oct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A1.6</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Legal instrument making the reporting framework binding</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16 Dec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A1.7</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Decision paper on a permanent reporting platform</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Dec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A1.8</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Capacity building for RMB officers and reporting entities</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A5C3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WS2</w:t>
            </w:r>
          </w:p>
        </w:tc>
        <w:tc>
          <w:tcPr>
            <w:tcW w:type="dxa" w:w="3238"/>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Licence portfolio clean-up (mineral trading companies)</w:t>
            </w:r>
          </w:p>
        </w:tc>
        <w:tc>
          <w:tcPr>
            <w:tcW w:type="dxa" w:w="115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22 Sep 2026</w:t>
            </w:r>
          </w:p>
        </w:tc>
        <w:tc>
          <w:tcPr>
            <w:tcW w:type="dxa" w:w="115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31 May 2027</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A2.1</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Activity and dormancy criteria for mineral trading licences</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22 Sep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A2.2</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Mapping of mineral trading companies</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Oct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A2.3</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Legal review of grounds and due process</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15 Dec 2026</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A2.4</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Warning cycle before any closure proposal</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Apr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A2.5</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Revocation dossiers recommended to the CEO</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Apr 2027</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A2.6</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Continuous licence-health monitoring</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May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B8860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WS3</w:t>
            </w:r>
          </w:p>
        </w:tc>
        <w:tc>
          <w:tcPr>
            <w:tcW w:type="dxa" w:w="3238"/>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Sector de-risking and financing framework</w:t>
            </w:r>
          </w:p>
        </w:tc>
        <w:tc>
          <w:tcPr>
            <w:tcW w:type="dxa" w:w="115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01 Oct 2026</w:t>
            </w:r>
          </w:p>
        </w:tc>
        <w:tc>
          <w:tcPr>
            <w:tcW w:type="dxa" w:w="115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31 May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A3.1</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Mapping, explanation and modelling of risks in the value chain</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Oct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A3.2</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Demonstration risk-pricing model</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Oct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A3.3</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Engagement with financial institutions around the model</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Dec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A3.4</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Mitigation and monitoring strategy with key risk indicators</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A3.5</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Financing options study</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Feb 2027</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Apr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A3.6</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Concept note and roadmap for the retained financing mechanism</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May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1B6CA8"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WS4</w:t>
            </w:r>
          </w:p>
        </w:tc>
        <w:tc>
          <w:tcPr>
            <w:tcW w:type="dxa" w:w="3238"/>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Prices predictability for processing-plant investors</w:t>
            </w:r>
          </w:p>
        </w:tc>
        <w:tc>
          <w:tcPr>
            <w:tcW w:type="dxa" w:w="115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01 Nov 2026</w:t>
            </w:r>
          </w:p>
        </w:tc>
        <w:tc>
          <w:tcPr>
            <w:tcW w:type="dxa" w:w="115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31 May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A4.1</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Value-chain price and cost mapping for cassiterite, coltan and wolframite</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Dec 2026</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A4.2</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Classification of components into controllable and non-controllable</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Jan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A4.3</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Design of direct price-influencing instruments</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Feb 2027</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28 Feb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A4.4</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Feasibility assessment of indirect instruments</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Feb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Mar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A4.5</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Proposal to Senior Management and to the Board committee</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Apr 2027</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Apr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A4.6</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Price and cost monitoring dashboard</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Mar 2027</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A4.7</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First quarterly price and cost outlook for investors</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May 2027</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5B2C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WS5</w:t>
            </w:r>
          </w:p>
        </w:tc>
        <w:tc>
          <w:tcPr>
            <w:tcW w:type="dxa" w:w="3238"/>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Programme mobilisation and governance</w:t>
            </w:r>
          </w:p>
        </w:tc>
        <w:tc>
          <w:tcPr>
            <w:tcW w:type="dxa" w:w="115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05 Sep 2026</w:t>
            </w:r>
          </w:p>
        </w:tc>
        <w:tc>
          <w:tcPr>
            <w:tcW w:type="dxa" w:w="115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30 Nov 2026</w:t>
            </w:r>
          </w:p>
        </w:tc>
        <w:tc>
          <w:tcPr>
            <w:tcW w:type="dxa" w:w="10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A5.1</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Review and validation of this action plan</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05 Sep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19 Sep 2026</w:t>
            </w:r>
          </w:p>
        </w:tc>
        <w:tc>
          <w:tcPr>
            <w:tcW w:type="dxa" w:w="10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A5.2</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Internal delivery team and named focal points</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08 Sep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Sep 2026</w:t>
            </w:r>
          </w:p>
        </w:tc>
        <w:tc>
          <w:tcPr>
            <w:tcW w:type="dxa" w:w="10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A5.3</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Programme dashboard, reporting calendar and repository</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Oct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A5.4</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Progress pack for the December 2026 Board meeting</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6B7B6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WS6</w:t>
            </w:r>
          </w:p>
        </w:tc>
        <w:tc>
          <w:tcPr>
            <w:tcW w:type="dxa" w:w="3238"/>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5"/>
                <w:szCs w:val="15"/>
              </w:rPr>
              <w:t xml:space="preserve">Decision-making ecosystem, automation and AI (cross-cutting)</w:t>
            </w:r>
          </w:p>
        </w:tc>
        <w:tc>
          <w:tcPr>
            <w:tcW w:type="dxa" w:w="115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15 Sep 2026</w:t>
            </w:r>
          </w:p>
        </w:tc>
        <w:tc>
          <w:tcPr>
            <w:tcW w:type="dxa" w:w="115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4"/>
                <w:szCs w:val="14"/>
              </w:rPr>
              <w:t xml:space="preserve">31 May 2027</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A6.1</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Portable AI prompt and skill library for file conversion and analysis</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Sep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Oct 2026</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A6.2</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Data governance, confidentiality and audit-trail policy</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15 Sep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Dec 2026</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A6.3</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Standard analytical products and publication calendar</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30 Nov 2026</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A6.4</w:t>
            </w:r>
          </w:p>
        </w:tc>
        <w:tc>
          <w:tcPr>
            <w:tcW w:type="dxa" w:w="323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Information-flow map and target decision workflow</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01 Nov 2026</w:t>
            </w:r>
          </w:p>
        </w:tc>
        <w:tc>
          <w:tcPr>
            <w:tcW w:type="dxa" w:w="115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Dec 2026</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r>
        <w:tc>
          <w:tcPr>
            <w:tcW w:type="dxa" w:w="6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A6.5</w:t>
            </w:r>
          </w:p>
        </w:tc>
        <w:tc>
          <w:tcPr>
            <w:tcW w:type="dxa" w:w="323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5"/>
                <w:szCs w:val="15"/>
              </w:rPr>
              <w:t xml:space="preserve">Automation and artificial-intelligence roadmap</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5"/>
                <w:szCs w:val="15"/>
              </w:rPr>
              <w:t xml:space="preserve">04 Jan 2027</w:t>
            </w:r>
          </w:p>
        </w:tc>
        <w:tc>
          <w:tcPr>
            <w:tcW w:type="dxa" w:w="115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5"/>
                <w:szCs w:val="15"/>
              </w:rPr>
              <w:t xml:space="preserve">31 May 2027</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FFFFFF"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c>
          <w:tcPr>
            <w:tcW w:type="dxa" w:w="1000"/>
            <w:tcBorders>
              <w:top w:val="single" w:color="C7D2DA" w:sz="2"/>
              <w:left w:val="single" w:color="C7D2DA" w:sz="2"/>
              <w:bottom w:val="single" w:color="C7D2DA" w:sz="2"/>
              <w:right w:val="single" w:color="C7D2DA" w:sz="2"/>
            </w:tcBorders>
            <w:shd w:fill="8C5A2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4"/>
                <w:szCs w:val="14"/>
              </w:rPr>
              <w:t xml:space="preserve"> </w:t>
            </w:r>
          </w:p>
        </w:tc>
      </w:tr>
    </w:tbl>
    <w:p>
      <w:pPr>
        <w:spacing w:after="120" w:before="0"/>
      </w:pPr>
    </w:p>
    <w:p>
      <w:pPr>
        <w:spacing w:after="120" w:before="0" w:line="240"/>
        <w:jc w:val="both"/>
      </w:pPr>
      <w:r>
        <w:rPr>
          <w:rFonts w:ascii="Aptos" w:cs="Aptos" w:eastAsia="Aptos" w:hAnsi="Aptos"/>
          <w:b/>
          <w:bCs/>
          <w:color w:val="1A1A1A"/>
          <w:sz w:val="19"/>
          <w:szCs w:val="19"/>
        </w:rPr>
        <w:t xml:space="preserve">Critical path.  </w:t>
      </w:r>
      <w:r>
        <w:rPr>
          <w:rFonts w:ascii="Aptos" w:cs="Aptos" w:eastAsia="Aptos" w:hAnsi="Aptos"/>
          <w:color w:val="1A1A1A"/>
          <w:sz w:val="19"/>
          <w:szCs w:val="19"/>
        </w:rPr>
        <w:t xml:space="preserve">A1.2, the demonstration platform, is the first link: it is what makes the December Board meeting a demonstration rather than a report, and it is what A1.4, A1.5 and A1.7 build on. In parallel A2.1 feeds A2.2, and A3.1 feeds A3.2, which are the other two December deliverables. From January, A1.4 to A1.6 and A2.3 to A2.5 carry the regulatory and licence work. Any slippage before 30 November 2026 (D+90) costs the Board meeting; slippage after it is largely contained within its own workstream.</w:t>
      </w:r>
    </w:p>
    <w:p>
      <w:pPr>
        <w:sectPr>
          <w:footerReference w:type="default" r:id="rId8"/>
          <w:pgSz w:w="16838" w:h="11906" w:orient="landscape"/>
          <w:pgMar w:top="850" w:right="850" w:bottom="850" w:left="850" w:header="454" w:footer="454" w:gutter="0"/>
          <w:pgNumType/>
          <w:docGrid w:linePitch="360"/>
        </w:sectPr>
      </w:pPr>
    </w:p>
    <w:p>
      <w:pPr>
        <w:pStyle w:val="Heading1"/>
        <w:pBdr>
          <w:bottom w:val="single" w:color="00A1DE" w:sz="12" w:space="4"/>
        </w:pBdr>
        <w:spacing w:after="140" w:before="320"/>
      </w:pPr>
      <w:r>
        <w:rPr>
          <w:rFonts w:ascii="Georgia" w:cs="Georgia" w:eastAsia="Georgia" w:hAnsi="Georgia"/>
          <w:b/>
          <w:bCs/>
          <w:color w:val="0B2A3D"/>
          <w:sz w:val="28"/>
          <w:szCs w:val="28"/>
        </w:rPr>
        <w:t xml:space="preserve">6. Responsibilities, reporting and decision-making</w:t>
      </w:r>
    </w:p>
    <w:p>
      <w:pPr>
        <w:pStyle w:val="Heading2"/>
        <w:spacing w:after="100" w:before="240"/>
      </w:pPr>
      <w:r>
        <w:rPr>
          <w:rFonts w:ascii="Georgia" w:cs="Georgia" w:eastAsia="Georgia" w:hAnsi="Georgia"/>
          <w:b/>
          <w:bCs/>
          <w:color w:val="0B2A3D"/>
          <w:sz w:val="23"/>
          <w:szCs w:val="23"/>
        </w:rPr>
        <w:t xml:space="preserve">6.1  Reporting lines of the mineral market intelligence function</w:t>
      </w:r>
    </w:p>
    <w:p>
      <w:pPr>
        <w:spacing w:after="120" w:before="0" w:line="240"/>
        <w:jc w:val="both"/>
      </w:pPr>
      <w:r>
        <w:rPr>
          <w:rFonts w:ascii="Aptos" w:cs="Aptos" w:eastAsia="Aptos" w:hAnsi="Aptos"/>
          <w:color w:val="1A1A1A"/>
          <w:sz w:val="20"/>
          <w:szCs w:val="20"/>
        </w:rPr>
        <w:t xml:space="preserve">The mineral market intelligence expert reports on two lines simultaneously, and the same written products serve both.</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7306"/>
      </w:tblGrid>
      <w:tr>
        <w:tc>
          <w:tcPr>
            <w:tcW w:type="dxa" w:w="29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FFFFFF"/>
                <w:sz w:val="18"/>
                <w:szCs w:val="18"/>
              </w:rPr>
              <w:t xml:space="preserve">Line 1, RMB Senior Management</w:t>
            </w:r>
          </w:p>
        </w:tc>
        <w:tc>
          <w:tcPr>
            <w:tcW w:type="dxa" w:w="73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40" w:before="60" w:line="240"/>
              <w:jc w:val="both"/>
            </w:pPr>
            <w:r>
              <w:rPr>
                <w:rFonts w:ascii="Aptos" w:cs="Aptos" w:eastAsia="Aptos" w:hAnsi="Aptos"/>
                <w:color w:val="1A1A1A"/>
                <w:sz w:val="18"/>
                <w:szCs w:val="18"/>
              </w:rPr>
              <w:t xml:space="preserve">The Chief Executive Officer, the Chief Geo-Hazard Officer, the heads of department and the division managers as listed on the RMB management page, together with any other officer whose responsibilities in the mineral sector make notification necessary. Annex B lists the offices and states the part each takes in this plan.</w:t>
            </w:r>
          </w:p>
          <w:p>
            <w:pPr>
              <w:spacing w:after="60" w:before="0" w:line="240"/>
              <w:jc w:val="both"/>
            </w:pPr>
            <w:r>
              <w:rPr>
                <w:rFonts w:ascii="Aptos" w:cs="Aptos" w:eastAsia="Aptos" w:hAnsi="Aptos"/>
                <w:i/>
                <w:iCs/>
                <w:color w:val="6B7A87"/>
                <w:sz w:val="18"/>
                <w:szCs w:val="18"/>
              </w:rPr>
              <w:t xml:space="preserve">This line carries operational direction, resource decisions and technical arbitration.</w:t>
            </w:r>
          </w:p>
        </w:tc>
      </w:tr>
      <w:tr>
        <w:tc>
          <w:tcPr>
            <w:tcW w:type="dxa" w:w="29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FFFFFF"/>
                <w:sz w:val="18"/>
                <w:szCs w:val="18"/>
              </w:rPr>
              <w:t xml:space="preserve">Line 2, Board finance committee</w:t>
            </w:r>
          </w:p>
        </w:tc>
        <w:tc>
          <w:tcPr>
            <w:tcW w:type="dxa" w:w="73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40" w:before="60" w:line="240"/>
              <w:jc w:val="both"/>
            </w:pPr>
            <w:r>
              <w:rPr>
                <w:rFonts w:ascii="Aptos" w:cs="Aptos" w:eastAsia="Aptos" w:hAnsi="Aptos"/>
                <w:color w:val="1A1A1A"/>
                <w:sz w:val="18"/>
                <w:szCs w:val="18"/>
              </w:rPr>
              <w:t xml:space="preserve">An informal committee within the Board of Directors, chaired by Mr. Dorian Cyubahiro, Advisor to the Minister of Finance and member of the RMB Board of Directors. It requires no formal constitution.</w:t>
            </w:r>
          </w:p>
          <w:p>
            <w:pPr>
              <w:spacing w:after="60" w:before="0" w:line="240"/>
              <w:jc w:val="both"/>
            </w:pPr>
            <w:r>
              <w:rPr>
                <w:rFonts w:ascii="Aptos" w:cs="Aptos" w:eastAsia="Aptos" w:hAnsi="Aptos"/>
                <w:i/>
                <w:iCs/>
                <w:color w:val="6B7A87"/>
                <w:sz w:val="18"/>
                <w:szCs w:val="18"/>
              </w:rPr>
              <w:t xml:space="preserve">This line carries strategic direction, validation of proposed mechanisms before implementation, and financing matters.</w:t>
            </w:r>
          </w:p>
        </w:tc>
      </w:tr>
    </w:tbl>
    <w:p>
      <w:pPr>
        <w:spacing w:after="80" w:before="0"/>
      </w:pPr>
    </w:p>
    <w:p>
      <w:pPr>
        <w:spacing w:after="120" w:before="0" w:line="240"/>
        <w:jc w:val="both"/>
      </w:pPr>
      <w:r>
        <w:rPr>
          <w:rFonts w:ascii="Aptos" w:cs="Aptos" w:eastAsia="Aptos" w:hAnsi="Aptos"/>
          <w:b/>
          <w:bCs/>
          <w:color w:val="1A1A1A"/>
          <w:sz w:val="19"/>
          <w:szCs w:val="19"/>
        </w:rPr>
        <w:t xml:space="preserve">Sequencing between the two lines.  </w:t>
      </w:r>
      <w:r>
        <w:rPr>
          <w:rFonts w:ascii="Aptos" w:cs="Aptos" w:eastAsia="Aptos" w:hAnsi="Aptos"/>
          <w:color w:val="1A1A1A"/>
          <w:sz w:val="19"/>
          <w:szCs w:val="19"/>
        </w:rPr>
        <w:t xml:space="preserve">A proposal goes to Senior Management first and to the Board committee second, so that the committee receives a technically reviewed document with a management position attached. The exception is an exception alert, which goes to the Chief Executive Officer and to the committee chair simultaneously within 48 hours.</w:t>
      </w:r>
    </w:p>
    <w:p>
      <w:pPr>
        <w:spacing w:after="140" w:before="0"/>
      </w:pPr>
    </w:p>
    <w:p>
      <w:pPr>
        <w:pStyle w:val="Heading2"/>
        <w:spacing w:after="100" w:before="240"/>
      </w:pPr>
      <w:r>
        <w:rPr>
          <w:rFonts w:ascii="Georgia" w:cs="Georgia" w:eastAsia="Georgia" w:hAnsi="Georgia"/>
          <w:b/>
          <w:bCs/>
          <w:color w:val="0B2A3D"/>
          <w:sz w:val="23"/>
          <w:szCs w:val="23"/>
        </w:rPr>
        <w:t xml:space="preserve">6.2  Responsibility matrix</w:t>
      </w:r>
    </w:p>
    <w:p>
      <w:pPr>
        <w:spacing w:after="120" w:before="0" w:line="240"/>
        <w:jc w:val="both"/>
      </w:pPr>
      <w:r>
        <w:rPr>
          <w:rFonts w:ascii="Aptos" w:cs="Aptos" w:eastAsia="Aptos" w:hAnsi="Aptos"/>
          <w:b/>
          <w:bCs/>
          <w:color w:val="6B7A87"/>
          <w:sz w:val="18"/>
          <w:szCs w:val="18"/>
        </w:rPr>
        <w:t xml:space="preserve">R</w:t>
      </w:r>
      <w:r>
        <w:rPr>
          <w:rFonts w:ascii="Aptos" w:cs="Aptos" w:eastAsia="Aptos" w:hAnsi="Aptos"/>
          <w:color w:val="6B7A87"/>
          <w:sz w:val="18"/>
          <w:szCs w:val="18"/>
        </w:rPr>
        <w:t xml:space="preserve"> responsible for delivery, </w:t>
      </w:r>
      <w:r>
        <w:rPr>
          <w:rFonts w:ascii="Aptos" w:cs="Aptos" w:eastAsia="Aptos" w:hAnsi="Aptos"/>
          <w:b/>
          <w:bCs/>
          <w:color w:val="6B7A87"/>
          <w:sz w:val="18"/>
          <w:szCs w:val="18"/>
        </w:rPr>
        <w:t xml:space="preserve">A</w:t>
      </w:r>
      <w:r>
        <w:rPr>
          <w:rFonts w:ascii="Aptos" w:cs="Aptos" w:eastAsia="Aptos" w:hAnsi="Aptos"/>
          <w:color w:val="6B7A87"/>
          <w:sz w:val="18"/>
          <w:szCs w:val="18"/>
        </w:rPr>
        <w:t xml:space="preserve"> accountable and approves, </w:t>
      </w:r>
      <w:r>
        <w:rPr>
          <w:rFonts w:ascii="Aptos" w:cs="Aptos" w:eastAsia="Aptos" w:hAnsi="Aptos"/>
          <w:b/>
          <w:bCs/>
          <w:color w:val="6B7A87"/>
          <w:sz w:val="18"/>
          <w:szCs w:val="18"/>
        </w:rPr>
        <w:t xml:space="preserve">C</w:t>
      </w:r>
      <w:r>
        <w:rPr>
          <w:rFonts w:ascii="Aptos" w:cs="Aptos" w:eastAsia="Aptos" w:hAnsi="Aptos"/>
          <w:color w:val="6B7A87"/>
          <w:sz w:val="18"/>
          <w:szCs w:val="18"/>
        </w:rPr>
        <w:t xml:space="preserve"> consulted, </w:t>
      </w:r>
      <w:r>
        <w:rPr>
          <w:rFonts w:ascii="Aptos" w:cs="Aptos" w:eastAsia="Aptos" w:hAnsi="Aptos"/>
          <w:b/>
          <w:bCs/>
          <w:color w:val="6B7A87"/>
          <w:sz w:val="18"/>
          <w:szCs w:val="18"/>
        </w:rPr>
        <w:t xml:space="preserve">I</w:t>
      </w:r>
      <w:r>
        <w:rPr>
          <w:rFonts w:ascii="Aptos" w:cs="Aptos" w:eastAsia="Aptos" w:hAnsi="Aptos"/>
          <w:color w:val="6B7A87"/>
          <w:sz w:val="18"/>
          <w:szCs w:val="18"/>
        </w:rPr>
        <w:t xml:space="preserve"> informed. All assignments other than the mineral market intelligence expert are proposals requiring confirmation.</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900"/>
        <w:gridCol w:w="818"/>
        <w:gridCol w:w="811"/>
        <w:gridCol w:w="811"/>
        <w:gridCol w:w="811"/>
        <w:gridCol w:w="811"/>
        <w:gridCol w:w="811"/>
        <w:gridCol w:w="811"/>
        <w:gridCol w:w="811"/>
        <w:gridCol w:w="811"/>
      </w:tblGrid>
      <w:tr>
        <w:trPr>
          <w:tblHeader/>
        </w:trPr>
        <w:tc>
          <w:tcPr>
            <w:tcW w:type="dxa" w:w="29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7"/>
                <w:szCs w:val="17"/>
              </w:rPr>
              <w:t xml:space="preserve">Workstream</w:t>
            </w:r>
          </w:p>
        </w:tc>
        <w:tc>
          <w:tcPr>
            <w:tcW w:type="dxa" w:w="818"/>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BC</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CEO</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HoD</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CAD</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INS</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IT</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LEG</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MMIE</w:t>
            </w:r>
          </w:p>
        </w:tc>
        <w:tc>
          <w:tcPr>
            <w:tcW w:type="dxa" w:w="811"/>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5"/>
                <w:szCs w:val="15"/>
              </w:rPr>
              <w:t xml:space="preserve">SPIU</w:t>
            </w:r>
          </w:p>
        </w:tc>
      </w:tr>
      <w:tr>
        <w:tc>
          <w:tcPr>
            <w:tcW w:type="dxa" w:w="2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6"/>
                <w:szCs w:val="16"/>
              </w:rPr>
              <w:t xml:space="preserve">WS1, company oversight through reporting</w:t>
            </w:r>
          </w:p>
        </w:tc>
        <w:tc>
          <w:tcPr>
            <w:tcW w:type="dxa" w:w="818"/>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r>
      <w:tr>
        <w:tc>
          <w:tcPr>
            <w:tcW w:type="dxa" w:w="2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6"/>
                <w:szCs w:val="16"/>
              </w:rPr>
              <w:t xml:space="preserve">WS2, licence portfolio clean-up</w:t>
            </w:r>
          </w:p>
        </w:tc>
        <w:tc>
          <w:tcPr>
            <w:tcW w:type="dxa" w:w="81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r>
      <w:tr>
        <w:tc>
          <w:tcPr>
            <w:tcW w:type="dxa" w:w="2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6"/>
                <w:szCs w:val="16"/>
              </w:rPr>
              <w:t xml:space="preserve">WS3, de-risking and financing</w:t>
            </w:r>
          </w:p>
        </w:tc>
        <w:tc>
          <w:tcPr>
            <w:tcW w:type="dxa" w:w="818"/>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r>
      <w:tr>
        <w:tc>
          <w:tcPr>
            <w:tcW w:type="dxa" w:w="2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6"/>
                <w:szCs w:val="16"/>
              </w:rPr>
              <w:t xml:space="preserve">WS4, prices predictability</w:t>
            </w:r>
          </w:p>
        </w:tc>
        <w:tc>
          <w:tcPr>
            <w:tcW w:type="dxa" w:w="818"/>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r>
      <w:tr>
        <w:tc>
          <w:tcPr>
            <w:tcW w:type="dxa" w:w="2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left"/>
            </w:pPr>
            <w:r>
              <w:rPr>
                <w:rFonts w:ascii="Aptos" w:cs="Aptos" w:eastAsia="Aptos" w:hAnsi="Aptos"/>
                <w:color w:val="1A1A1A"/>
                <w:sz w:val="16"/>
                <w:szCs w:val="16"/>
              </w:rPr>
              <w:t xml:space="preserve">WS5, mobilisation and governance</w:t>
            </w:r>
          </w:p>
        </w:tc>
        <w:tc>
          <w:tcPr>
            <w:tcW w:type="dxa" w:w="818"/>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r>
      <w:tr>
        <w:tc>
          <w:tcPr>
            <w:tcW w:type="dxa" w:w="2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left"/>
            </w:pPr>
            <w:r>
              <w:rPr>
                <w:rFonts w:ascii="Aptos" w:cs="Aptos" w:eastAsia="Aptos" w:hAnsi="Aptos"/>
                <w:color w:val="1A1A1A"/>
                <w:sz w:val="16"/>
                <w:szCs w:val="16"/>
              </w:rPr>
              <w:t xml:space="preserve">WS6, decision ecosystem, automation and AI</w:t>
            </w:r>
          </w:p>
        </w:tc>
        <w:tc>
          <w:tcPr>
            <w:tcW w:type="dxa" w:w="818"/>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A</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C</w:t>
            </w:r>
          </w:p>
        </w:tc>
        <w:tc>
          <w:tcPr>
            <w:tcW w:type="dxa" w:w="811"/>
            <w:tcBorders>
              <w:top w:val="single" w:color="C7D2DA" w:sz="2"/>
              <w:left w:val="single" w:color="C7D2DA" w:sz="2"/>
              <w:bottom w:val="single" w:color="C7D2DA" w:sz="2"/>
              <w:right w:val="single" w:color="C7D2DA" w:sz="2"/>
            </w:tcBorders>
            <w:shd w:fill="2060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6"/>
                <w:szCs w:val="16"/>
              </w:rPr>
              <w:t xml:space="preserve">R</w:t>
            </w:r>
          </w:p>
        </w:tc>
        <w:tc>
          <w:tcPr>
            <w:tcW w:type="dxa" w:w="811"/>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0B2A3D"/>
                <w:sz w:val="16"/>
                <w:szCs w:val="16"/>
              </w:rPr>
              <w:t xml:space="preserve">I</w:t>
            </w:r>
          </w:p>
        </w:tc>
      </w:tr>
    </w:tbl>
    <w:p>
      <w:pPr>
        <w:spacing w:after="60" w:before="0"/>
      </w:pPr>
    </w:p>
    <w:p>
      <w:pPr>
        <w:spacing w:after="0" w:before="0" w:line="240"/>
        <w:jc w:val="both"/>
      </w:pPr>
      <w:r>
        <w:rPr>
          <w:rFonts w:ascii="Aptos" w:cs="Aptos" w:eastAsia="Aptos" w:hAnsi="Aptos"/>
          <w:color w:val="6B7A87"/>
          <w:sz w:val="15"/>
          <w:szCs w:val="15"/>
        </w:rPr>
        <w:t xml:space="preserve">BC Board finance committee (informal), chaired by Mr. Dorian Cyubahiro;  </w:t>
      </w:r>
      <w:r>
        <w:rPr>
          <w:rFonts w:ascii="Aptos" w:cs="Aptos" w:eastAsia="Aptos" w:hAnsi="Aptos"/>
          <w:color w:val="6B7A87"/>
          <w:sz w:val="15"/>
          <w:szCs w:val="15"/>
        </w:rPr>
        <w:t xml:space="preserve">CEO Chief Executive Officer;  </w:t>
      </w:r>
      <w:r>
        <w:rPr>
          <w:rFonts w:ascii="Aptos" w:cs="Aptos" w:eastAsia="Aptos" w:hAnsi="Aptos"/>
          <w:color w:val="6B7A87"/>
          <w:sz w:val="15"/>
          <w:szCs w:val="15"/>
        </w:rPr>
        <w:t xml:space="preserve">HoD Head of Department;  </w:t>
      </w:r>
      <w:r>
        <w:rPr>
          <w:rFonts w:ascii="Aptos" w:cs="Aptos" w:eastAsia="Aptos" w:hAnsi="Aptos"/>
          <w:color w:val="6B7A87"/>
          <w:sz w:val="15"/>
          <w:szCs w:val="15"/>
        </w:rPr>
        <w:t xml:space="preserve">CAD Cadastre and digital information division;  </w:t>
      </w:r>
      <w:r>
        <w:rPr>
          <w:rFonts w:ascii="Aptos" w:cs="Aptos" w:eastAsia="Aptos" w:hAnsi="Aptos"/>
          <w:color w:val="6B7A87"/>
          <w:sz w:val="15"/>
          <w:szCs w:val="15"/>
        </w:rPr>
        <w:t xml:space="preserve">INS Extraction and inspection division;  </w:t>
      </w:r>
      <w:r>
        <w:rPr>
          <w:rFonts w:ascii="Aptos" w:cs="Aptos" w:eastAsia="Aptos" w:hAnsi="Aptos"/>
          <w:color w:val="6B7A87"/>
          <w:sz w:val="15"/>
          <w:szCs w:val="15"/>
        </w:rPr>
        <w:t xml:space="preserve">IT Head of IT team;  </w:t>
      </w:r>
      <w:r>
        <w:rPr>
          <w:rFonts w:ascii="Aptos" w:cs="Aptos" w:eastAsia="Aptos" w:hAnsi="Aptos"/>
          <w:color w:val="6B7A87"/>
          <w:sz w:val="15"/>
          <w:szCs w:val="15"/>
        </w:rPr>
        <w:t xml:space="preserve">LEG Legal;  </w:t>
      </w:r>
      <w:r>
        <w:rPr>
          <w:rFonts w:ascii="Aptos" w:cs="Aptos" w:eastAsia="Aptos" w:hAnsi="Aptos"/>
          <w:color w:val="6B7A87"/>
          <w:sz w:val="15"/>
          <w:szCs w:val="15"/>
        </w:rPr>
        <w:t xml:space="preserve">MMIE Mineral market intelligence expert;  </w:t>
      </w:r>
      <w:r>
        <w:rPr>
          <w:rFonts w:ascii="Aptos" w:cs="Aptos" w:eastAsia="Aptos" w:hAnsi="Aptos"/>
          <w:color w:val="6B7A87"/>
          <w:sz w:val="15"/>
          <w:szCs w:val="15"/>
        </w:rPr>
        <w:t xml:space="preserve">SPIU SPIU coordinator</w:t>
      </w:r>
    </w:p>
    <w:p>
      <w:pPr>
        <w:spacing w:after="160" w:before="0"/>
      </w:pPr>
    </w:p>
    <w:p>
      <w:pPr>
        <w:pStyle w:val="Heading2"/>
        <w:spacing w:after="100" w:before="240"/>
      </w:pPr>
      <w:r>
        <w:rPr>
          <w:rFonts w:ascii="Georgia" w:cs="Georgia" w:eastAsia="Georgia" w:hAnsi="Georgia"/>
          <w:b/>
          <w:bCs/>
          <w:color w:val="0B2A3D"/>
          <w:sz w:val="23"/>
          <w:szCs w:val="23"/>
        </w:rPr>
        <w:t xml:space="preserve">6.3  Reporting mechanisms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300"/>
        <w:gridCol w:w="3500"/>
        <w:gridCol w:w="2500"/>
        <w:gridCol w:w="1906"/>
      </w:tblGrid>
      <w:tr>
        <w:trPr>
          <w:tblHeader/>
        </w:trPr>
        <w:tc>
          <w:tcPr>
            <w:tcW w:type="dxa" w:w="23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Report</w:t>
            </w:r>
          </w:p>
        </w:tc>
        <w:tc>
          <w:tcPr>
            <w:tcW w:type="dxa" w:w="35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Content</w:t>
            </w:r>
          </w:p>
        </w:tc>
        <w:tc>
          <w:tcPr>
            <w:tcW w:type="dxa" w:w="25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From and to</w:t>
            </w:r>
          </w:p>
        </w:tc>
        <w:tc>
          <w:tcPr>
            <w:tcW w:type="dxa" w:w="19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Frequency</w:t>
            </w:r>
          </w:p>
        </w:tc>
      </w:tr>
      <w:tr>
        <w:tc>
          <w:tcPr>
            <w:tcW w:type="dxa" w:w="2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Weekly progress log</w:t>
            </w:r>
          </w:p>
        </w:tc>
        <w:tc>
          <w:tcPr>
            <w:tcW w:type="dxa" w:w="3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Milestone status, blockers, decisions needed. One page.</w:t>
            </w:r>
          </w:p>
        </w:tc>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 to the head of department and the delivery team</w:t>
            </w:r>
          </w:p>
        </w:tc>
        <w:tc>
          <w:tcPr>
            <w:tcW w:type="dxa" w:w="19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Weekly, every Monday</w:t>
            </w:r>
          </w:p>
        </w:tc>
      </w:tr>
      <w:tr>
        <w:tc>
          <w:tcPr>
            <w:tcW w:type="dxa" w:w="2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Monthly progress report</w:t>
            </w:r>
          </w:p>
        </w:tc>
        <w:tc>
          <w:tcPr>
            <w:tcW w:type="dxa" w:w="3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Progress against the action plan, milestones met or missed with justification, resource issues, decisions required from Management.</w:t>
            </w:r>
          </w:p>
        </w:tc>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 to the CEO, the CGO, the heads of department and the division managers</w:t>
            </w:r>
          </w:p>
        </w:tc>
        <w:tc>
          <w:tcPr>
            <w:tcW w:type="dxa" w:w="19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Monthly, first working Monday</w:t>
            </w:r>
          </w:p>
        </w:tc>
      </w:tr>
      <w:tr>
        <w:tc>
          <w:tcPr>
            <w:tcW w:type="dxa" w:w="2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Monthly sector dashboard</w:t>
            </w:r>
          </w:p>
        </w:tc>
        <w:tc>
          <w:tcPr>
            <w:tcW w:type="dxa" w:w="3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Prices, volumes, realised export values, deduction gaps, reporting compliance rate, licence health, key risk indicators.</w:t>
            </w:r>
          </w:p>
        </w:tc>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 to Senior Management, extract to the Board committee</w:t>
            </w:r>
          </w:p>
        </w:tc>
        <w:tc>
          <w:tcPr>
            <w:tcW w:type="dxa" w:w="19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Monthly, by the 10th</w:t>
            </w:r>
          </w:p>
        </w:tc>
      </w:tr>
      <w:tr>
        <w:tc>
          <w:tcPr>
            <w:tcW w:type="dxa" w:w="2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Quarterly report to the Board committee</w:t>
            </w:r>
          </w:p>
        </w:tc>
        <w:tc>
          <w:tcPr>
            <w:tcW w:type="dxa" w:w="3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Consolidated progress, analytical findings, decisions taken and decisions requested, re-baselining proposals.</w:t>
            </w:r>
          </w:p>
        </w:tc>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 through the CEO, to the informal Board finance committee</w:t>
            </w:r>
          </w:p>
        </w:tc>
        <w:tc>
          <w:tcPr>
            <w:tcW w:type="dxa" w:w="19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Quarterly, within 15 days of quarter end</w:t>
            </w:r>
          </w:p>
        </w:tc>
      </w:tr>
      <w:tr>
        <w:tc>
          <w:tcPr>
            <w:tcW w:type="dxa" w:w="2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Report to the full Board</w:t>
            </w:r>
          </w:p>
        </w:tc>
        <w:tc>
          <w:tcPr>
            <w:tcW w:type="dxa" w:w="3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Summary of the committee's report, the live demonstrations, and any matter requiring a Board decision.</w:t>
            </w:r>
          </w:p>
        </w:tc>
        <w:tc>
          <w:tcPr>
            <w:tcW w:type="dxa" w:w="25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CEO and committee chair to the Board of Directors</w:t>
            </w:r>
          </w:p>
        </w:tc>
        <w:tc>
          <w:tcPr>
            <w:tcW w:type="dxa" w:w="19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At each ordinary Board meeting, next in early December 2026</w:t>
            </w:r>
          </w:p>
        </w:tc>
      </w:tr>
      <w:tr>
        <w:tc>
          <w:tcPr>
            <w:tcW w:type="dxa" w:w="2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Exception alert</w:t>
            </w:r>
          </w:p>
        </w:tc>
        <w:tc>
          <w:tcPr>
            <w:tcW w:type="dxa" w:w="3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Any material anomaly detected: pricing outside the reference band, a suspected fictitious licence or transaction, significant non-compliance, or an event affecting a Board commitment.</w:t>
            </w:r>
          </w:p>
        </w:tc>
        <w:tc>
          <w:tcPr>
            <w:tcW w:type="dxa" w:w="25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 to the CEO and the committee chair simultaneously</w:t>
            </w:r>
          </w:p>
        </w:tc>
        <w:tc>
          <w:tcPr>
            <w:tcW w:type="dxa" w:w="19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Within 48 hours of detection</w:t>
            </w:r>
          </w:p>
        </w:tc>
      </w:tr>
    </w:tbl>
    <w:p>
      <w:pPr>
        <w:spacing w:after="160" w:before="0"/>
      </w:pPr>
    </w:p>
    <w:p>
      <w:pPr>
        <w:pStyle w:val="Heading2"/>
        <w:spacing w:after="100" w:before="240"/>
      </w:pPr>
      <w:r>
        <w:rPr>
          <w:rFonts w:ascii="Georgia" w:cs="Georgia" w:eastAsia="Georgia" w:hAnsi="Georgia"/>
          <w:b/>
          <w:bCs/>
          <w:color w:val="0B2A3D"/>
          <w:sz w:val="23"/>
          <w:szCs w:val="23"/>
        </w:rPr>
        <w:t xml:space="preserve">6.4  Decision-making workflow</w:t>
      </w:r>
    </w:p>
    <w:p>
      <w:pPr>
        <w:spacing w:after="120" w:before="0" w:line="240"/>
        <w:jc w:val="both"/>
      </w:pPr>
      <w:r>
        <w:rPr>
          <w:rFonts w:ascii="Aptos" w:cs="Aptos" w:eastAsia="Aptos" w:hAnsi="Aptos"/>
          <w:color w:val="1A1A1A"/>
          <w:sz w:val="20"/>
          <w:szCs w:val="20"/>
        </w:rPr>
        <w:t xml:space="preserve">The purpose of this workflow is that no observation dies in a report. Every step has an owner and a service level, and the loop closes by measuring whether the decision had the intended effect.</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500"/>
        <w:gridCol w:w="1700"/>
        <w:gridCol w:w="4400"/>
        <w:gridCol w:w="1900"/>
        <w:gridCol w:w="1706"/>
      </w:tblGrid>
      <w:tr>
        <w:trPr>
          <w:tblHeader/>
        </w:trPr>
        <w:tc>
          <w:tcPr>
            <w:tcW w:type="dxa" w:w="5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
            </w:r>
          </w:p>
        </w:tc>
        <w:tc>
          <w:tcPr>
            <w:tcW w:type="dxa" w:w="17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Step</w:t>
            </w:r>
          </w:p>
        </w:tc>
        <w:tc>
          <w:tcPr>
            <w:tcW w:type="dxa" w:w="4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What happens</w:t>
            </w:r>
          </w:p>
        </w:tc>
        <w:tc>
          <w:tcPr>
            <w:tcW w:type="dxa" w:w="19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Who</w:t>
            </w:r>
          </w:p>
        </w:tc>
        <w:tc>
          <w:tcPr>
            <w:tcW w:type="dxa" w:w="17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Service level</w:t>
            </w:r>
          </w:p>
        </w:tc>
      </w:tr>
      <w:tr>
        <w:tc>
          <w:tcPr>
            <w:tcW w:type="dxa" w:w="5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1</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Capture</w:t>
            </w:r>
          </w:p>
        </w:tc>
        <w:tc>
          <w:tcPr>
            <w:tcW w:type="dxa" w:w="4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Companies submit through the platform, in the format and at the frequency set by the reporting framework. Contracts, invoices and assay reports enter the same repository.</w:t>
            </w:r>
          </w:p>
        </w:tc>
        <w:tc>
          <w:tcPr>
            <w:tcW w:type="dxa" w:w="1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Operators, cadastre and digital information division</w:t>
            </w:r>
          </w:p>
        </w:tc>
        <w:tc>
          <w:tcPr>
            <w:tcW w:type="dxa" w:w="1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7"/>
                <w:szCs w:val="17"/>
              </w:rPr>
              <w:t xml:space="preserve">Per the framework's deadlines</w:t>
            </w:r>
          </w:p>
        </w:tc>
      </w:tr>
      <w:tr>
        <w:tc>
          <w:tcPr>
            <w:tcW w:type="dxa" w:w="5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2</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Automated validation</w:t>
            </w:r>
          </w:p>
        </w:tc>
        <w:tc>
          <w:tcPr>
            <w:tcW w:type="dxa" w:w="4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Completeness, consistency and plausibility rules run at upload. The sender receives immediate feedback and a chance to correct before the report is accepted.</w:t>
            </w:r>
          </w:p>
        </w:tc>
        <w:tc>
          <w:tcPr>
            <w:tcW w:type="dxa" w:w="1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The platform, supervised by the head of IT team</w:t>
            </w:r>
          </w:p>
        </w:tc>
        <w:tc>
          <w:tcPr>
            <w:tcW w:type="dxa" w:w="17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7"/>
                <w:szCs w:val="17"/>
              </w:rPr>
              <w:t xml:space="preserve">Immediate</w:t>
            </w:r>
          </w:p>
        </w:tc>
      </w:tr>
      <w:tr>
        <w:tc>
          <w:tcPr>
            <w:tcW w:type="dxa" w:w="5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3</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Analysis</w:t>
            </w:r>
          </w:p>
        </w:tc>
        <w:tc>
          <w:tcPr>
            <w:tcW w:type="dxa" w:w="4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Cross-source reconciliation and anomaly detection run automatically. The market intelligence function interprets the output and separates a data problem from a real finding.</w:t>
            </w:r>
          </w:p>
        </w:tc>
        <w:tc>
          <w:tcPr>
            <w:tcW w:type="dxa" w:w="1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w:t>
            </w:r>
          </w:p>
        </w:tc>
        <w:tc>
          <w:tcPr>
            <w:tcW w:type="dxa" w:w="1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7"/>
                <w:szCs w:val="17"/>
              </w:rPr>
              <w:t xml:space="preserve">5 working days</w:t>
            </w:r>
          </w:p>
        </w:tc>
      </w:tr>
      <w:tr>
        <w:tc>
          <w:tcPr>
            <w:tcW w:type="dxa" w:w="5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4</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Recommendation</w:t>
            </w:r>
          </w:p>
        </w:tc>
        <w:tc>
          <w:tcPr>
            <w:tcW w:type="dxa" w:w="4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Every finding leaves the analysis stage as a written recommendation with options, expected effect and the authority competent to decide. No finding is circulated without a proposed course of action.</w:t>
            </w:r>
          </w:p>
        </w:tc>
        <w:tc>
          <w:tcPr>
            <w:tcW w:type="dxa" w:w="1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w:t>
            </w:r>
          </w:p>
        </w:tc>
        <w:tc>
          <w:tcPr>
            <w:tcW w:type="dxa" w:w="17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7"/>
                <w:szCs w:val="17"/>
              </w:rPr>
              <w:t xml:space="preserve">5 working days</w:t>
            </w:r>
          </w:p>
        </w:tc>
      </w:tr>
      <w:tr>
        <w:tc>
          <w:tcPr>
            <w:tcW w:type="dxa" w:w="5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5</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Decision</w:t>
            </w:r>
          </w:p>
        </w:tc>
        <w:tc>
          <w:tcPr>
            <w:tcW w:type="dxa" w:w="4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Technical and analytical matters are decided by Senior Management. Matters with a budget, regulatory or strategic dimension go to the Board committee and, where required, to the full Board. Licence revocation is decided by the CEO on the recommendation of the competent RMB organ.</w:t>
            </w:r>
          </w:p>
        </w:tc>
        <w:tc>
          <w:tcPr>
            <w:tcW w:type="dxa" w:w="1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CEO, Board committee, or Board</w:t>
            </w:r>
          </w:p>
        </w:tc>
        <w:tc>
          <w:tcPr>
            <w:tcW w:type="dxa" w:w="1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7"/>
                <w:szCs w:val="17"/>
              </w:rPr>
              <w:t xml:space="preserve">Next scheduled meeting, or 10 working days if urgent</w:t>
            </w:r>
          </w:p>
        </w:tc>
      </w:tr>
      <w:tr>
        <w:tc>
          <w:tcPr>
            <w:tcW w:type="dxa" w:w="5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6</w:t>
            </w:r>
          </w:p>
        </w:tc>
        <w:tc>
          <w:tcPr>
            <w:tcW w:type="dxa" w:w="17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Execution</w:t>
            </w:r>
          </w:p>
        </w:tc>
        <w:tc>
          <w:tcPr>
            <w:tcW w:type="dxa" w:w="4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The decision is assigned to a named owner with a deadline and recorded in the programme dashboard.</w:t>
            </w:r>
          </w:p>
        </w:tc>
        <w:tc>
          <w:tcPr>
            <w:tcW w:type="dxa" w:w="1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Named owner</w:t>
            </w:r>
          </w:p>
        </w:tc>
        <w:tc>
          <w:tcPr>
            <w:tcW w:type="dxa" w:w="17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center"/>
            </w:pPr>
            <w:r>
              <w:rPr>
                <w:rFonts w:ascii="Aptos" w:cs="Aptos" w:eastAsia="Aptos" w:hAnsi="Aptos"/>
                <w:color w:val="1A1A1A"/>
                <w:sz w:val="17"/>
                <w:szCs w:val="17"/>
              </w:rPr>
              <w:t xml:space="preserve">As set in the decision</w:t>
            </w:r>
          </w:p>
        </w:tc>
      </w:tr>
      <w:tr>
        <w:tc>
          <w:tcPr>
            <w:tcW w:type="dxa" w:w="5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9"/>
                <w:szCs w:val="19"/>
              </w:rPr>
              <w:t xml:space="preserve">7</w:t>
            </w:r>
          </w:p>
        </w:tc>
        <w:tc>
          <w:tcPr>
            <w:tcW w:type="dxa" w:w="17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Feedback</w:t>
            </w:r>
          </w:p>
        </w:tc>
        <w:tc>
          <w:tcPr>
            <w:tcW w:type="dxa" w:w="4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The effect of the decision is measured against the indicator that triggered it, reported back to the deciding body, and the loop is closed or reopened.</w:t>
            </w:r>
          </w:p>
        </w:tc>
        <w:tc>
          <w:tcPr>
            <w:tcW w:type="dxa" w:w="1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Mineral market intelligence expert</w:t>
            </w:r>
          </w:p>
        </w:tc>
        <w:tc>
          <w:tcPr>
            <w:tcW w:type="dxa" w:w="17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center"/>
            </w:pPr>
            <w:r>
              <w:rPr>
                <w:rFonts w:ascii="Aptos" w:cs="Aptos" w:eastAsia="Aptos" w:hAnsi="Aptos"/>
                <w:color w:val="1A1A1A"/>
                <w:sz w:val="17"/>
                <w:szCs w:val="17"/>
              </w:rPr>
              <w:t xml:space="preserve">At the next reporting cycle</w:t>
            </w:r>
          </w:p>
        </w:tc>
      </w:tr>
    </w:tbl>
    <w:p>
      <w:pPr>
        <w:spacing w:after="10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206"/>
      </w:tblGrid>
      <w:tr>
        <w:tc>
          <w:tcPr>
            <w:tcW w:type="dxa" w:w="10206"/>
            <w:tcBorders>
              <w:top w:val="none" w:color="FFFFFF" w:sz="0"/>
              <w:left w:val="single" w:color="20603D" w:sz="24"/>
              <w:bottom w:val="none" w:color="FFFFFF" w:sz="0"/>
              <w:right w:val="none" w:color="FFFFFF" w:sz="0"/>
            </w:tcBorders>
            <w:shd w:fill="EEF3F7" w:color="auto" w:val="clear"/>
            <w:tcMar>
              <w:top w:type="dxa" w:w="120"/>
              <w:left w:type="dxa" w:w="80"/>
              <w:bottom w:type="dxa" w:w="120"/>
              <w:right w:type="dxa" w:w="80"/>
            </w:tcMar>
            <w:vAlign w:val="center"/>
          </w:tcPr>
          <w:p>
            <w:pPr>
              <w:spacing w:after="80" w:before="0" w:line="240"/>
              <w:jc w:val="both"/>
            </w:pPr>
            <w:r>
              <w:rPr>
                <w:rFonts w:ascii="Aptos" w:cs="Aptos" w:eastAsia="Aptos" w:hAnsi="Aptos"/>
                <w:b/>
                <w:bCs/>
                <w:color w:val="1A1A1A"/>
                <w:sz w:val="19"/>
                <w:szCs w:val="19"/>
              </w:rPr>
              <w:t xml:space="preserve">Decision rights</w:t>
            </w:r>
          </w:p>
          <w:p>
            <w:pPr>
              <w:spacing w:after="0" w:before="0" w:line="240"/>
              <w:jc w:val="both"/>
            </w:pPr>
            <w:r>
              <w:rPr>
                <w:rFonts w:ascii="Aptos" w:cs="Aptos" w:eastAsia="Aptos" w:hAnsi="Aptos"/>
                <w:color w:val="1A1A1A"/>
                <w:sz w:val="19"/>
                <w:szCs w:val="19"/>
              </w:rPr>
              <w:t xml:space="preserve">Technical and analytical choices: the mineral market intelligence expert with the head of department. Resources and staffing: the Chief Executive Officer, with the SPIU coordinator where a project financing route applies. Mechanisms proposed under WS3 and WS4, and any regulatory instrument: validated by the Board committee before implementation, and referred to the full Board or beyond where the law requires. Licence revocation: decided by the Chief Executive Officer on the recommendation of the competent RMB organ.</w:t>
            </w:r>
          </w:p>
        </w:tc>
      </w:tr>
    </w:tbl>
    <w:p>
      <w:pPr>
        <w:spacing w:after="16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7. Automation and artificial intelligence</w:t>
      </w:r>
    </w:p>
    <w:p>
      <w:pPr>
        <w:spacing w:after="120" w:before="0" w:line="240"/>
        <w:jc w:val="both"/>
      </w:pPr>
      <w:r>
        <w:rPr>
          <w:rFonts w:ascii="Aptos" w:cs="Aptos" w:eastAsia="Aptos" w:hAnsi="Aptos"/>
          <w:color w:val="1A1A1A"/>
          <w:sz w:val="20"/>
          <w:szCs w:val="20"/>
        </w:rPr>
        <w:t xml:space="preserve">RMB will not obtain systematic visibility over the sector by adding staff to read documents. The volume of contracts, invoices, assay certificates and periodic reports that uniform reporting will generate is only manageable if the routine work is automated and human attention is reserved for judgement. The use cases below are ranked by the ratio of value to feasibility and delivered progressively under activity A6.5; the first is already scheduled for October 2026.</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2400"/>
        <w:gridCol w:w="3900"/>
        <w:gridCol w:w="3906"/>
      </w:tblGrid>
      <w:tr>
        <w:trPr>
          <w:tblHeader/>
        </w:trPr>
        <w:tc>
          <w:tcPr>
            <w:tcW w:type="dxa" w:w="24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Use case</w:t>
            </w:r>
          </w:p>
        </w:tc>
        <w:tc>
          <w:tcPr>
            <w:tcW w:type="dxa" w:w="39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What it automates</w:t>
            </w:r>
          </w:p>
        </w:tc>
        <w:tc>
          <w:tcPr>
            <w:tcW w:type="dxa" w:w="39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What it makes possible</w:t>
            </w:r>
          </w:p>
        </w:tc>
      </w:tr>
      <w:tr>
        <w:tc>
          <w:tcPr>
            <w:tcW w:type="dxa" w:w="2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Portable prompt and skill library</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Tool-agnostic prompt and skill files a company downloads and runs with any AI assistant to turn a PDF, a scan or a text record into a clean Excel or CSV file.</w:t>
            </w:r>
          </w:p>
        </w:tc>
        <w:tc>
          <w:tcPr>
            <w:tcW w:type="dxa" w:w="39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Companies whose records are not digital today can still report. This is what makes uniform reporting realistic rather than aspirational, and it costs nothing to distribute.</w:t>
            </w:r>
          </w:p>
        </w:tc>
      </w:tr>
      <w:tr>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Document intelligence</w:t>
            </w:r>
          </w:p>
        </w:tc>
        <w:tc>
          <w:tcPr>
            <w:tcW w:type="dxa" w:w="3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Automatic extraction of structured data from contracts, invoices, assay certificates and company reports into a single machine-readable schema, whatever format they arrive in.</w:t>
            </w:r>
          </w:p>
        </w:tc>
        <w:tc>
          <w:tcPr>
            <w:tcW w:type="dxa" w:w="39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Turns a contract review that today takes days of manual reading into minutes, and makes the whole contract population searchable and comparable rather than filed away.</w:t>
            </w:r>
          </w:p>
        </w:tc>
      </w:tr>
      <w:tr>
        <w:tc>
          <w:tcPr>
            <w:tcW w:type="dxa" w:w="2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Rule-based validation at upload</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Deterministic checks the moment a report is submitted: mandatory fields, units, internal arithmetic, tonnage balances, grade ranges, deduction lines itemised rather than bundled.</w:t>
            </w:r>
          </w:p>
        </w:tc>
        <w:tc>
          <w:tcPr>
            <w:tcW w:type="dxa" w:w="39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Errors are corrected by the company before the data enters RMB's systems. Officers stop spending their time on data cleaning.</w:t>
            </w:r>
          </w:p>
        </w:tc>
      </w:tr>
      <w:tr>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Anomaly detection</w:t>
            </w:r>
          </w:p>
        </w:tc>
        <w:tc>
          <w:tcPr>
            <w:tcW w:type="dxa" w:w="3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Statistical detection of outliers: prices outside the reference band, grades inconsistent with the deposit, treatment charges diverging from the published rate, duplicated invoices, activity patterns typical of a dormant holder.</w:t>
            </w:r>
          </w:p>
        </w:tc>
        <w:tc>
          <w:tcPr>
            <w:tcW w:type="dxa" w:w="39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Inspection effort is directed by evidence rather than by rotation. The same engine feeds the licence clean-up and the risk indicators.</w:t>
            </w:r>
          </w:p>
        </w:tc>
      </w:tr>
      <w:tr>
        <w:tc>
          <w:tcPr>
            <w:tcW w:type="dxa" w:w="2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Cross-source reconciliation</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Automatic matching of declared exports against assay reports, invoices, tax records and traceability data, with every discrepancy raised as a worklist item.</w:t>
            </w:r>
          </w:p>
        </w:tc>
        <w:tc>
          <w:tcPr>
            <w:tcW w:type="dxa" w:w="39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Closes the gap between what is declared in one channel and what is declared in another, which is the loophole opacity depends on.</w:t>
            </w:r>
          </w:p>
        </w:tc>
      </w:tr>
      <w:tr>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Risk and price modelling</w:t>
            </w:r>
          </w:p>
        </w:tc>
        <w:tc>
          <w:tcPr>
            <w:tcW w:type="dxa" w:w="3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Quantified models that price the mapped risks and recompute realised value against the pricing model, with scenario and sensitivity analysis on the main drivers.</w:t>
            </w:r>
          </w:p>
        </w:tc>
        <w:tc>
          <w:tcPr>
            <w:tcW w:type="dxa" w:w="39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Gives banks and insurers a number rather than an argument, and gives investors a computed answer on what a change in freight, treatment charge or reference price does to their economics.</w:t>
            </w:r>
          </w:p>
        </w:tc>
      </w:tr>
      <w:tr>
        <w:tc>
          <w:tcPr>
            <w:tcW w:type="dxa" w:w="24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Automated drafting and feedback</w:t>
            </w:r>
          </w:p>
        </w:tc>
        <w:tc>
          <w:tcPr>
            <w:tcW w:type="dxa" w:w="39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First drafts generated: quarterly communiqués, dashboards, compliance-reminder letters, the standard notices in the licence warning cycle, and routine sections of the Board pack.</w:t>
            </w:r>
          </w:p>
        </w:tc>
        <w:tc>
          <w:tcPr>
            <w:tcW w:type="dxa" w:w="39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Reporting effort moves from producing documents to reviewing and deciding on them.</w:t>
            </w:r>
          </w:p>
        </w:tc>
      </w:tr>
      <w:tr>
        <w:tc>
          <w:tcPr>
            <w:tcW w:type="dxa" w:w="24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Compliance assistant for operators</w:t>
            </w:r>
          </w:p>
        </w:tc>
        <w:tc>
          <w:tcPr>
            <w:tcW w:type="dxa" w:w="39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A guided assistant answering an operator's questions about what to report, when, and in what format.</w:t>
            </w:r>
          </w:p>
        </w:tc>
        <w:tc>
          <w:tcPr>
            <w:tcW w:type="dxa" w:w="39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Reduces error at source and lowers the cost of compliance, which is what makes uniform enforcement fair as well as feasible.</w:t>
            </w:r>
          </w:p>
        </w:tc>
      </w:tr>
    </w:tbl>
    <w:p>
      <w:pPr>
        <w:spacing w:after="140" w:before="0"/>
      </w:pPr>
    </w:p>
    <w:p>
      <w:pPr>
        <w:pStyle w:val="Heading2"/>
        <w:spacing w:after="100" w:before="240"/>
      </w:pPr>
      <w:r>
        <w:rPr>
          <w:rFonts w:ascii="Georgia" w:cs="Georgia" w:eastAsia="Georgia" w:hAnsi="Georgia"/>
          <w:b/>
          <w:bCs/>
          <w:color w:val="0B2A3D"/>
          <w:sz w:val="23"/>
          <w:szCs w:val="23"/>
        </w:rPr>
        <w:t xml:space="preserve">7.1  Conditions and safeguards</w:t>
      </w:r>
    </w:p>
    <w:p>
      <w:pPr>
        <w:pStyle w:val="ListParagraph"/>
        <w:numPr>
          <w:ilvl w:val="0"/>
          <w:numId w:val="2"/>
        </w:numPr>
        <w:spacing w:after="120" w:before="0" w:line="240"/>
        <w:jc w:val="both"/>
      </w:pPr>
      <w:r>
        <w:rPr>
          <w:rFonts w:ascii="Aptos" w:cs="Aptos" w:eastAsia="Aptos" w:hAnsi="Aptos"/>
          <w:color w:val="1A1A1A"/>
          <w:sz w:val="20"/>
          <w:szCs w:val="20"/>
        </w:rPr>
        <w:t xml:space="preserve">Artificial intelligence supports decisions; it does not take them. Any output affecting a licence, a tax position or a sanction is reviewed and signed by a competent officer.</w:t>
      </w:r>
    </w:p>
    <w:p>
      <w:pPr>
        <w:pStyle w:val="ListParagraph"/>
        <w:numPr>
          <w:ilvl w:val="0"/>
          <w:numId w:val="2"/>
        </w:numPr>
        <w:spacing w:after="120" w:before="0" w:line="240"/>
        <w:jc w:val="both"/>
      </w:pPr>
      <w:r>
        <w:rPr>
          <w:rFonts w:ascii="Aptos" w:cs="Aptos" w:eastAsia="Aptos" w:hAnsi="Aptos"/>
          <w:color w:val="1A1A1A"/>
          <w:sz w:val="20"/>
          <w:szCs w:val="20"/>
        </w:rPr>
        <w:t xml:space="preserve">Every automated finding must be traceable to the source document that produced it, and reproducible.</w:t>
      </w:r>
    </w:p>
    <w:p>
      <w:pPr>
        <w:pStyle w:val="ListParagraph"/>
        <w:numPr>
          <w:ilvl w:val="0"/>
          <w:numId w:val="2"/>
        </w:numPr>
        <w:spacing w:after="120" w:before="0" w:line="240"/>
        <w:jc w:val="both"/>
      </w:pPr>
      <w:r>
        <w:rPr>
          <w:rFonts w:ascii="Aptos" w:cs="Aptos" w:eastAsia="Aptos" w:hAnsi="Aptos"/>
          <w:color w:val="1A1A1A"/>
          <w:sz w:val="20"/>
          <w:szCs w:val="20"/>
        </w:rPr>
        <w:t xml:space="preserve">The demonstration platform retains no company data once a session ends, and the data-handling note is issued before the first upload, not after.</w:t>
      </w:r>
    </w:p>
    <w:p>
      <w:pPr>
        <w:pStyle w:val="ListParagraph"/>
        <w:numPr>
          <w:ilvl w:val="0"/>
          <w:numId w:val="2"/>
        </w:numPr>
        <w:spacing w:after="120" w:before="0" w:line="240"/>
        <w:jc w:val="both"/>
      </w:pPr>
      <w:r>
        <w:rPr>
          <w:rFonts w:ascii="Aptos" w:cs="Aptos" w:eastAsia="Aptos" w:hAnsi="Aptos"/>
          <w:color w:val="1A1A1A"/>
          <w:sz w:val="20"/>
          <w:szCs w:val="20"/>
        </w:rPr>
        <w:t xml:space="preserve">Start with deterministic rules, which are cheap, explainable and defensible before a court or an operator, and add statistical or generative components only where rules genuinely cannot do the job.</w:t>
      </w:r>
    </w:p>
    <w:p>
      <w:pPr>
        <w:pStyle w:val="ListParagraph"/>
        <w:numPr>
          <w:ilvl w:val="0"/>
          <w:numId w:val="2"/>
        </w:numPr>
        <w:spacing w:after="120" w:before="0" w:line="240"/>
        <w:jc w:val="both"/>
      </w:pPr>
      <w:r>
        <w:rPr>
          <w:rFonts w:ascii="Aptos" w:cs="Aptos" w:eastAsia="Aptos" w:hAnsi="Aptos"/>
          <w:color w:val="1A1A1A"/>
          <w:sz w:val="20"/>
          <w:szCs w:val="20"/>
        </w:rPr>
        <w:t xml:space="preserve">Build demonstrations before asking for budget. A tool that has been seen working is a different decision from a tool that has been described.</w:t>
      </w:r>
    </w:p>
    <w:p>
      <w:pPr>
        <w:pStyle w:val="ListParagraph"/>
        <w:numPr>
          <w:ilvl w:val="0"/>
          <w:numId w:val="2"/>
        </w:numPr>
        <w:spacing w:after="120" w:before="0" w:line="240"/>
        <w:jc w:val="both"/>
      </w:pPr>
      <w:r>
        <w:rPr>
          <w:rFonts w:ascii="Aptos" w:cs="Aptos" w:eastAsia="Aptos" w:hAnsi="Aptos"/>
          <w:color w:val="1A1A1A"/>
          <w:sz w:val="20"/>
          <w:szCs w:val="20"/>
        </w:rPr>
        <w:t xml:space="preserve">Measure each release on time saved, errors caught and decisions accelerated. An automation that cannot show its effect is retired.</w:t>
      </w:r>
    </w:p>
    <w:p>
      <w:pPr>
        <w:spacing w:after="140" w:before="0"/>
      </w:pPr>
    </w:p>
    <w:p>
      <w:pPr>
        <w:pStyle w:val="Heading2"/>
        <w:spacing w:after="100" w:before="240"/>
      </w:pPr>
      <w:r>
        <w:rPr>
          <w:rFonts w:ascii="Georgia" w:cs="Georgia" w:eastAsia="Georgia" w:hAnsi="Georgia"/>
          <w:b/>
          <w:bCs/>
          <w:color w:val="0B2A3D"/>
          <w:sz w:val="23"/>
          <w:szCs w:val="23"/>
        </w:rPr>
        <w:t xml:space="preserve">7.2  Effect on the decision loop</w:t>
      </w:r>
    </w:p>
    <w:p>
      <w:pPr>
        <w:spacing w:after="120" w:before="0" w:line="240"/>
        <w:jc w:val="both"/>
      </w:pPr>
      <w:r>
        <w:rPr>
          <w:rFonts w:ascii="Aptos" w:cs="Aptos" w:eastAsia="Aptos" w:hAnsi="Aptos"/>
          <w:color w:val="1A1A1A"/>
          <w:sz w:val="20"/>
          <w:szCs w:val="20"/>
        </w:rPr>
        <w:t xml:space="preserve">Automation is what turns the seven-step workflow of section 6.4 from an intention into a service level. Capture and validation become instantaneous. Analysis starts from a clean, reconciled dataset instead of from data cleaning. Anomalies present themselves rather than waiting to be found. Recommendations and routine reports are drafted rather than written from scratch. The measurable target is that the time between an event in the sector and a decision informed by it falls from months to days.</w:t>
      </w:r>
    </w:p>
    <w:p>
      <w:pPr>
        <w:spacing w:after="16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Annex A. Glossary of abbreviations</w:t>
      </w:r>
    </w:p>
    <w:p>
      <w:pPr>
        <w:spacing w:after="120" w:before="0" w:line="240"/>
        <w:jc w:val="both"/>
      </w:pPr>
      <w:r>
        <w:rPr>
          <w:rFonts w:ascii="Aptos" w:cs="Aptos" w:eastAsia="Aptos" w:hAnsi="Aptos"/>
          <w:color w:val="1A1A1A"/>
          <w:sz w:val="20"/>
          <w:szCs w:val="20"/>
        </w:rPr>
        <w:t xml:space="preserve">Every abbreviation used in this document, defined once.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300"/>
        <w:gridCol w:w="3803"/>
        <w:gridCol w:w="1300"/>
        <w:gridCol w:w="3803"/>
      </w:tblGrid>
      <w:tr>
        <w:trPr>
          <w:tblHeader/>
        </w:trPr>
        <w:tc>
          <w:tcPr>
            <w:tcW w:type="dxa" w:w="13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Term</w:t>
            </w:r>
          </w:p>
        </w:tc>
        <w:tc>
          <w:tcPr>
            <w:tcW w:type="dxa" w:w="3803"/>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Meaning</w:t>
            </w:r>
          </w:p>
        </w:tc>
        <w:tc>
          <w:tcPr>
            <w:tcW w:type="dxa" w:w="13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Term</w:t>
            </w:r>
          </w:p>
        </w:tc>
        <w:tc>
          <w:tcPr>
            <w:tcW w:type="dxa" w:w="3803"/>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Meaning</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RMB</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Rwanda Mines, Petroleum and Gas Board</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RACI</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Responsibility matrix: who is Responsible, Accountable, Consulted and Informed</w:t>
            </w:r>
          </w:p>
        </w:tc>
      </w:tr>
      <w:tr>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CEO</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Chief Executive Officer of RMB</w:t>
            </w:r>
          </w:p>
        </w:tc>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KRI</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Key risk indicator, a measurable signal that a mapped risk is materialising</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CGO</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Chief Geo-Hazard Officer of RMB</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RRA</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Rwanda Revenue Authority</w:t>
            </w:r>
          </w:p>
        </w:tc>
      </w:tr>
      <w:tr>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SPIU</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Single Project Implementation Unit, the RMB unit coordinating project financing and procurement</w:t>
            </w:r>
          </w:p>
        </w:tc>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BNR</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National Bank of Rwanda</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WS1</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Workstream 1, company oversight through enforced reporting</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MINECOFIN</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Ministry of Finance and Economic Planning</w:t>
            </w:r>
          </w:p>
        </w:tc>
      </w:tr>
      <w:tr>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WS2</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Workstream 2, licence portfolio clean-up for mineral trading companies</w:t>
            </w:r>
          </w:p>
        </w:tc>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RDB</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Rwanda Development Board</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WS3</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Workstream 3, sector de-risking and financing framework</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DFI</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Development finance institution</w:t>
            </w:r>
          </w:p>
        </w:tc>
      </w:tr>
      <w:tr>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WS4</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Workstream 4, prices predictability for processing-plant investors</w:t>
            </w:r>
          </w:p>
        </w:tc>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DFIs</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Development finance institutions</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WS5</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Workstream 5, programme mobilisation and governance</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LME</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London Metal Exchange, the reference market for tin and other base metals</w:t>
            </w:r>
          </w:p>
        </w:tc>
      </w:tr>
      <w:tr>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WS6</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Workstream 6, decision-making ecosystem, automation and artificial intelligence</w:t>
            </w:r>
          </w:p>
        </w:tc>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MoU</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Memorandum of understanding</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SO1</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Specific objective 1, visibility over licensed operators (WS1)</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ESG</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Environmental, social and governance</w:t>
            </w:r>
          </w:p>
        </w:tc>
      </w:tr>
      <w:tr>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SO2</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Specific objective 2, a licence register that reflects reality (WS2)</w:t>
            </w:r>
          </w:p>
        </w:tc>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CSV</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Comma-separated values, a plain-text spreadsheet format</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SO3</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Specific objective 3, a de-risked sector that can be financed (WS3)</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AI</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Artificial intelligence</w:t>
            </w:r>
          </w:p>
        </w:tc>
      </w:tr>
      <w:tr>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SO4</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Specific objective 4, price predictability for processing-plant investors (WS4)</w:t>
            </w:r>
          </w:p>
        </w:tc>
        <w:tc>
          <w:tcPr>
            <w:tcW w:type="dxa" w:w="13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IT</w:t>
            </w:r>
          </w:p>
        </w:tc>
        <w:tc>
          <w:tcPr>
            <w:tcW w:type="dxa" w:w="3803"/>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Information technology</w:t>
            </w:r>
          </w:p>
        </w:tc>
      </w:tr>
      <w:tr>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SO5</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Specific objective 5, named owners, deadlines and reporting channels (WS5)</w:t>
            </w:r>
          </w:p>
        </w:tc>
        <w:tc>
          <w:tcPr>
            <w:tcW w:type="dxa" w:w="13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6"/>
                <w:szCs w:val="16"/>
              </w:rPr>
              <w:t xml:space="preserve">D+n</w:t>
            </w:r>
          </w:p>
        </w:tc>
        <w:tc>
          <w:tcPr>
            <w:tcW w:type="dxa" w:w="3803"/>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6"/>
                <w:szCs w:val="16"/>
              </w:rPr>
              <w:t xml:space="preserve">Number of days counted from 1 September 2026, the day after the Board meeting</w:t>
            </w:r>
          </w:p>
        </w:tc>
      </w:tr>
    </w:tbl>
    <w:p>
      <w:pPr>
        <w:spacing w:after="160" w:before="0"/>
      </w:pPr>
    </w:p>
    <w:p>
      <w:pPr>
        <w:pStyle w:val="Heading1"/>
        <w:pBdr>
          <w:bottom w:val="single" w:color="00A1DE" w:sz="12" w:space="4"/>
        </w:pBdr>
        <w:spacing w:after="140" w:before="320"/>
      </w:pPr>
      <w:r>
        <w:rPr>
          <w:rFonts w:ascii="Georgia" w:cs="Georgia" w:eastAsia="Georgia" w:hAnsi="Georgia"/>
          <w:b/>
          <w:bCs/>
          <w:color w:val="0B2A3D"/>
          <w:sz w:val="28"/>
          <w:szCs w:val="28"/>
        </w:rPr>
        <w:t xml:space="preserve">Annex B. Offices taking part in this plan</w:t>
      </w:r>
    </w:p>
    <w:p>
      <w:pPr>
        <w:spacing w:after="120" w:before="0" w:line="240"/>
        <w:jc w:val="both"/>
      </w:pPr>
      <w:r>
        <w:rPr>
          <w:rFonts w:ascii="Aptos" w:cs="Aptos" w:eastAsia="Aptos" w:hAnsi="Aptos"/>
          <w:color w:val="1A1A1A"/>
          <w:sz w:val="20"/>
          <w:szCs w:val="20"/>
        </w:rPr>
        <w:t xml:space="preserve">Offices rather than individuals, since post-holders change. Distribution follows the RMB management page, with any other officer whose responsibilities in the mineral sector make notification necessary added on confirmation by the Chief Executive Officer.</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4000"/>
        <w:gridCol w:w="6206"/>
      </w:tblGrid>
      <w:tr>
        <w:trPr>
          <w:tblHeader/>
        </w:trPr>
        <w:tc>
          <w:tcPr>
            <w:tcW w:type="dxa" w:w="4000"/>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center"/>
            </w:pPr>
            <w:r>
              <w:rPr>
                <w:rFonts w:ascii="Aptos" w:cs="Aptos" w:eastAsia="Aptos" w:hAnsi="Aptos"/>
                <w:b/>
                <w:bCs/>
                <w:color w:val="FFFFFF"/>
                <w:sz w:val="18"/>
                <w:szCs w:val="18"/>
              </w:rPr>
              <w:t xml:space="preserve">Office</w:t>
            </w:r>
          </w:p>
        </w:tc>
        <w:tc>
          <w:tcPr>
            <w:tcW w:type="dxa" w:w="6206"/>
            <w:tcBorders>
              <w:top w:val="single" w:color="C7D2DA" w:sz="2"/>
              <w:left w:val="single" w:color="C7D2DA" w:sz="2"/>
              <w:bottom w:val="single" w:color="C7D2DA" w:sz="2"/>
              <w:right w:val="single" w:color="C7D2DA" w:sz="2"/>
            </w:tcBorders>
            <w:shd w:fill="0B2A3D" w:color="auto" w:val="clear"/>
            <w:tcMar>
              <w:top w:type="dxa" w:w="0"/>
              <w:left w:type="dxa" w:w="80"/>
              <w:bottom w:type="dxa" w:w="0"/>
              <w:right w:type="dxa" w:w="80"/>
            </w:tcMar>
            <w:vAlign w:val="center"/>
          </w:tcPr>
          <w:p>
            <w:pPr>
              <w:spacing w:after="60" w:before="60" w:line="240"/>
              <w:jc w:val="left"/>
            </w:pPr>
            <w:r>
              <w:rPr>
                <w:rFonts w:ascii="Aptos" w:cs="Aptos" w:eastAsia="Aptos" w:hAnsi="Aptos"/>
                <w:b/>
                <w:bCs/>
                <w:color w:val="FFFFFF"/>
                <w:sz w:val="18"/>
                <w:szCs w:val="18"/>
              </w:rPr>
              <w:t xml:space="preserve">Part taken in this plan</w:t>
            </w:r>
          </w:p>
        </w:tc>
      </w:tr>
      <w:tr>
        <w:tc>
          <w:tcPr>
            <w:tcW w:type="dxa" w:w="4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Chief Executive Officer</w:t>
            </w:r>
          </w:p>
        </w:tc>
        <w:tc>
          <w:tcPr>
            <w:tcW w:type="dxa" w:w="6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Approves the plan and its resourcing, decides on technical and analytical matters, decides licence revocation on the recommendation of the competent organ.</w:t>
            </w:r>
          </w:p>
        </w:tc>
      </w:tr>
      <w:tr>
        <w:tc>
          <w:tcPr>
            <w:tcW w:type="dxa" w:w="4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Chief Geo-Hazard Officer</w:t>
            </w:r>
          </w:p>
        </w:tc>
        <w:tc>
          <w:tcPr>
            <w:tcW w:type="dxa" w:w="6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Informed, consulted where geohazard and land-use considerations bear on licence decisions.</w:t>
            </w:r>
          </w:p>
        </w:tc>
      </w:tr>
      <w:tr>
        <w:tc>
          <w:tcPr>
            <w:tcW w:type="dxa" w:w="4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Head of Department of Mines, Petroleum and Gas Exploration</w:t>
            </w:r>
          </w:p>
        </w:tc>
        <w:tc>
          <w:tcPr>
            <w:tcW w:type="dxa" w:w="6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Line supervision of the market intelligence function, consulted on all workstreams.</w:t>
            </w:r>
          </w:p>
        </w:tc>
      </w:tr>
      <w:tr>
        <w:tc>
          <w:tcPr>
            <w:tcW w:type="dxa" w:w="4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Advisor to the Chief Executive Officer</w:t>
            </w:r>
          </w:p>
        </w:tc>
        <w:tc>
          <w:tcPr>
            <w:tcW w:type="dxa" w:w="6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Coordination with the CEO's office, support on Board and policy documents.</w:t>
            </w:r>
          </w:p>
        </w:tc>
      </w:tr>
      <w:tr>
        <w:tc>
          <w:tcPr>
            <w:tcW w:type="dxa" w:w="4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SPIU Coordinator</w:t>
            </w:r>
          </w:p>
        </w:tc>
        <w:tc>
          <w:tcPr>
            <w:tcW w:type="dxa" w:w="6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Consulted on the budget and procurement route for any permanent platform.</w:t>
            </w:r>
          </w:p>
        </w:tc>
      </w:tr>
      <w:tr>
        <w:tc>
          <w:tcPr>
            <w:tcW w:type="dxa" w:w="4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Mining Extraction and Inspection Division Manager</w:t>
            </w:r>
          </w:p>
        </w:tc>
        <w:tc>
          <w:tcPr>
            <w:tcW w:type="dxa" w:w="6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Field verification, inspection input to the licence mapping and to cost data.</w:t>
            </w:r>
          </w:p>
        </w:tc>
      </w:tr>
      <w:tr>
        <w:tc>
          <w:tcPr>
            <w:tcW w:type="dxa" w:w="4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Mining Cadaster and Digital Information Division Manager</w:t>
            </w:r>
          </w:p>
        </w:tc>
        <w:tc>
          <w:tcPr>
            <w:tcW w:type="dxa" w:w="6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Co-owner of the trading licence mapping and of the clean-up cycle.</w:t>
            </w:r>
          </w:p>
        </w:tc>
      </w:tr>
      <w:tr>
        <w:tc>
          <w:tcPr>
            <w:tcW w:type="dxa" w:w="4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Mineral Exploration Division Manager</w:t>
            </w:r>
          </w:p>
        </w:tc>
        <w:tc>
          <w:tcPr>
            <w:tcW w:type="dxa" w:w="6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Reporting framework and dormancy criteria for exploration licences, once the approach extends beyond trading.</w:t>
            </w:r>
          </w:p>
        </w:tc>
      </w:tr>
      <w:tr>
        <w:tc>
          <w:tcPr>
            <w:tcW w:type="dxa" w:w="4000"/>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Head of IT team</w:t>
            </w:r>
          </w:p>
        </w:tc>
        <w:tc>
          <w:tcPr>
            <w:tcW w:type="dxa" w:w="6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Technical counterpart for the demonstration platform, the analysis layer and the dashboards.</w:t>
            </w:r>
          </w:p>
        </w:tc>
      </w:tr>
      <w:tr>
        <w:tc>
          <w:tcPr>
            <w:tcW w:type="dxa" w:w="4000"/>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0B2A3D"/>
                <w:sz w:val="17"/>
                <w:szCs w:val="17"/>
              </w:rPr>
              <w:t xml:space="preserve">Mineral market intelligence expert</w:t>
            </w:r>
          </w:p>
        </w:tc>
        <w:tc>
          <w:tcPr>
            <w:tcW w:type="dxa" w:w="6206"/>
            <w:tcBorders>
              <w:top w:val="single" w:color="C7D2DA" w:sz="2"/>
              <w:left w:val="single" w:color="C7D2DA" w:sz="2"/>
              <w:bottom w:val="single" w:color="C7D2DA" w:sz="2"/>
              <w:right w:val="single" w:color="C7D2DA" w:sz="2"/>
            </w:tcBorders>
            <w:shd w:fill="F7F9FB" w:color="auto" w:val="clear"/>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Delivery lead for the programme, reporting to Senior Management and to the Board finance committee.</w:t>
            </w:r>
          </w:p>
        </w:tc>
      </w:tr>
    </w:tbl>
    <w:p>
      <w:pPr>
        <w:spacing w:after="120" w:before="0"/>
      </w:pP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3000"/>
        <w:gridCol w:w="7206"/>
      </w:tblGrid>
      <w:tr>
        <w:tc>
          <w:tcPr>
            <w:tcW w:type="dxa" w:w="3000"/>
            <w:tcBorders>
              <w:top w:val="single" w:color="C7D2DA" w:sz="2"/>
              <w:left w:val="single" w:color="C7D2DA" w:sz="2"/>
              <w:bottom w:val="single" w:color="C7D2DA" w:sz="2"/>
              <w:right w:val="single" w:color="C7D2DA" w:sz="2"/>
            </w:tcBorders>
            <w:shd w:fill="00A1DE" w:color="auto" w:val="clear"/>
            <w:tcMar>
              <w:top w:type="dxa" w:w="0"/>
              <w:left w:type="dxa" w:w="80"/>
              <w:bottom w:type="dxa" w:w="0"/>
              <w:right w:type="dxa" w:w="80"/>
            </w:tcMar>
            <w:vAlign w:val="center"/>
          </w:tcPr>
          <w:p>
            <w:pPr>
              <w:spacing w:after="60" w:before="60" w:line="240"/>
              <w:jc w:val="both"/>
            </w:pPr>
            <w:r>
              <w:rPr>
                <w:rFonts w:ascii="Aptos" w:cs="Aptos" w:eastAsia="Aptos" w:hAnsi="Aptos"/>
                <w:b/>
                <w:bCs/>
                <w:color w:val="FFFFFF"/>
                <w:sz w:val="17"/>
                <w:szCs w:val="17"/>
              </w:rPr>
              <w:t xml:space="preserve">Chair, Board finance committee</w:t>
            </w:r>
          </w:p>
        </w:tc>
        <w:tc>
          <w:tcPr>
            <w:tcW w:type="dxa" w:w="7206"/>
            <w:tcBorders>
              <w:top w:val="single" w:color="C7D2DA" w:sz="2"/>
              <w:left w:val="single" w:color="C7D2DA" w:sz="2"/>
              <w:bottom w:val="single" w:color="C7D2DA" w:sz="2"/>
              <w:right w:val="single" w:color="C7D2DA" w:sz="2"/>
            </w:tcBorders>
            <w:tcMar>
              <w:top w:type="dxa" w:w="0"/>
              <w:left w:type="dxa" w:w="80"/>
              <w:bottom w:type="dxa" w:w="0"/>
              <w:right w:type="dxa" w:w="80"/>
            </w:tcMar>
            <w:vAlign w:val="center"/>
          </w:tcPr>
          <w:p>
            <w:pPr>
              <w:spacing w:after="60" w:before="60" w:line="240"/>
              <w:jc w:val="both"/>
            </w:pPr>
            <w:r>
              <w:rPr>
                <w:rFonts w:ascii="Aptos" w:cs="Aptos" w:eastAsia="Aptos" w:hAnsi="Aptos"/>
                <w:color w:val="1A1A1A"/>
                <w:sz w:val="17"/>
                <w:szCs w:val="17"/>
              </w:rPr>
              <w:t xml:space="preserve">Informal committee chaired by Mr. Dorian Cyubahiro, Advisor to the Minister of Finance and member of the RMB Board of Directors. Receives the quarterly report, validates the mechanisms proposed under WS3 and WS4 before implementation, and is a first recipient of exception alerts.</w:t>
            </w:r>
          </w:p>
        </w:tc>
      </w:tr>
    </w:tbl>
    <w:p>
      <w:pPr>
        <w:spacing w:after="200" w:before="0"/>
      </w:pPr>
    </w:p>
    <w:p>
      <w:pPr>
        <w:spacing w:after="0" w:before="0" w:line="240"/>
        <w:jc w:val="center"/>
      </w:pPr>
      <w:r>
        <w:rPr>
          <w:rFonts w:ascii="Aptos" w:cs="Aptos" w:eastAsia="Aptos" w:hAnsi="Aptos"/>
          <w:i/>
          <w:iCs/>
          <w:color w:val="6B7A87"/>
          <w:sz w:val="16"/>
          <w:szCs w:val="16"/>
        </w:rPr>
        <w:t xml:space="preserve">Prepared by Jean Jacques, mineral market intelligence expert, RMB, 5 September 2026. Draft for review. Online version: https://jeanjacques-mutabaruka.github.io/rmb-bod-request-2026-09-01/</w:t>
      </w:r>
    </w:p>
    <w:sectPr>
      <w:footerReference w:type="default" r:id="rId9"/>
      <w:pgSz w:w="11906" w:h="16838" w:orient="portrait"/>
      <w:pgMar w:top="850" w:right="850" w:bottom="850" w:left="850"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A" w:sz="4" w:space="6"/>
      </w:pBdr>
      <w:jc w:val="center"/>
    </w:pPr>
    <w:r>
      <w:rPr>
        <w:color w:val="6B7A87"/>
        <w:sz w:val="14"/>
        <w:szCs w:val="14"/>
      </w:rPr>
      <w:t xml:space="preserve">RMB, Board of Directors of 1 September 2026: objectives and action plan (detailed), v3, 5 September 2026 · Page </w:t>
    </w:r>
    <w:r>
      <w:rPr>
        <w:color w:val="6B7A87"/>
        <w:sz w:val="14"/>
        <w:szCs w:val="14"/>
      </w:rPr>
      <w:fldChar w:fldCharType="begin"/>
      <w:instrText xml:space="preserve">PAGE</w:instrText>
      <w:fldChar w:fldCharType="separate"/>
      <w:fldChar w:fldCharType="end"/>
    </w:r>
    <w:r>
      <w:rPr>
        <w:color w:val="6B7A87"/>
        <w:sz w:val="14"/>
        <w:szCs w:val="14"/>
      </w:rPr>
      <w:t xml:space="preserve"> of </w:t>
    </w:r>
    <w:r>
      <w:rPr>
        <w:color w:val="6B7A87"/>
        <w:sz w:val="14"/>
        <w:szCs w:val="14"/>
      </w:rPr>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A" w:sz="4" w:space="6"/>
      </w:pBdr>
      <w:jc w:val="center"/>
    </w:pPr>
    <w:r>
      <w:rPr>
        <w:color w:val="6B7A87"/>
        <w:sz w:val="14"/>
        <w:szCs w:val="14"/>
      </w:rPr>
      <w:t xml:space="preserve">RMB, Board of Directors of 1 September 2026: objectives and action plan (detailed), v3, 5 September 2026 · Page </w:t>
    </w:r>
    <w:r>
      <w:rPr>
        <w:color w:val="6B7A87"/>
        <w:sz w:val="14"/>
        <w:szCs w:val="14"/>
      </w:rPr>
      <w:fldChar w:fldCharType="begin"/>
      <w:instrText xml:space="preserve">PAGE</w:instrText>
      <w:fldChar w:fldCharType="separate"/>
      <w:fldChar w:fldCharType="end"/>
    </w:r>
    <w:r>
      <w:rPr>
        <w:color w:val="6B7A87"/>
        <w:sz w:val="14"/>
        <w:szCs w:val="14"/>
      </w:rPr>
      <w:t xml:space="preserve"> of </w:t>
    </w:r>
    <w:r>
      <w:rPr>
        <w:color w:val="6B7A87"/>
        <w:sz w:val="14"/>
        <w:szCs w:val="14"/>
      </w:rPr>
      <w:fldChar w:fldCharType="begin"/>
      <w:instrText xml:space="preserve">NUMPAGES</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7D2DA" w:sz="4" w:space="6"/>
      </w:pBdr>
      <w:jc w:val="center"/>
    </w:pPr>
    <w:r>
      <w:rPr>
        <w:color w:val="6B7A87"/>
        <w:sz w:val="14"/>
        <w:szCs w:val="14"/>
      </w:rPr>
      <w:t xml:space="preserve">RMB, Board of Directors of 1 September 2026: objectives and action plan (detailed), v3, 5 September 2026 · Page </w:t>
    </w:r>
    <w:r>
      <w:rPr>
        <w:color w:val="6B7A87"/>
        <w:sz w:val="14"/>
        <w:szCs w:val="14"/>
      </w:rPr>
      <w:fldChar w:fldCharType="begin"/>
      <w:instrText xml:space="preserve">PAGE</w:instrText>
      <w:fldChar w:fldCharType="separate"/>
      <w:fldChar w:fldCharType="end"/>
    </w:r>
    <w:r>
      <w:rPr>
        <w:color w:val="6B7A87"/>
        <w:sz w:val="14"/>
        <w:szCs w:val="14"/>
      </w:rPr>
      <w:t xml:space="preserve"> of </w:t>
    </w:r>
    <w:r>
      <w:rPr>
        <w:color w:val="6B7A87"/>
        <w:sz w:val="14"/>
        <w:szCs w:val="14"/>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abstractNum>
  <w:abstractNum w:abstractNumId="3" w15:restartNumberingAfterBreak="0">
    <w:multiLevelType w:val="hybridMultilevel"/>
    <w:lvl w:ilvl="0" w15:tentative="1">
      <w:start w:val="1"/>
      <w:numFmt w:val="decimal"/>
      <w:lvlText w:val="%1."/>
      <w:lvlJc w:val="left"/>
      <w:pPr>
        <w:ind w:left="40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rPr>
      <w:rFonts w:ascii="Georgia" w:cs="Georgia" w:eastAsia="Georgia" w:hAnsi="Georgia"/>
      <w:b/>
      <w:bCs/>
      <w:color w:val="0B2A3D"/>
      <w:sz w:val="28"/>
      <w:szCs w:val="28"/>
    </w:rPr>
  </w:style>
  <w:style w:type="paragraph" w:styleId="Heading2">
    <w:name w:val="Heading 2"/>
    <w:basedOn w:val="Normal"/>
    <w:next w:val="Normal"/>
    <w:qFormat/>
    <w:rPr>
      <w:rFonts w:ascii="Georgia" w:cs="Georgia" w:eastAsia="Georgia" w:hAnsi="Georgia"/>
      <w:b/>
      <w:bCs/>
      <w:color w:val="0B2A3D"/>
      <w:sz w:val="23"/>
      <w:szCs w:val="23"/>
    </w:rPr>
  </w:style>
  <w:style w:type="paragraph" w:styleId="Heading3">
    <w:name w:val="Heading 3"/>
    <w:basedOn w:val="Normal"/>
    <w:next w:val="Normal"/>
    <w:qFormat/>
    <w:rPr>
      <w:rFonts w:ascii="Aptos" w:cs="Aptos" w:eastAsia="Aptos" w:hAnsi="Aptos"/>
      <w:b/>
      <w:bCs/>
      <w:color w:val="20603D"/>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2026-09-05T19:53:49.421Z</dcterms:created>
  <dcterms:modified xsi:type="dcterms:W3CDTF">2026-09-05T19:53:49.422Z</dcterms:modified>
</cp:coreProperties>
</file>

<file path=docProps/custom.xml><?xml version="1.0" encoding="utf-8"?>
<Properties xmlns="http://schemas.openxmlformats.org/officeDocument/2006/custom-properties" xmlns:vt="http://schemas.openxmlformats.org/officeDocument/2006/docPropsVTypes"/>
</file>